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B" w:rsidRDefault="007315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Pesquisa de preço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-660398</wp:posOffset>
                </wp:positionV>
                <wp:extent cx="1872615" cy="84391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32"/>
                              </w:rPr>
                              <w:t>COVID-19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Campina Grande se previne. Faça a sua parte!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-660398</wp:posOffset>
                </wp:positionV>
                <wp:extent cx="1872615" cy="84391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615" cy="843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-674368</wp:posOffset>
            </wp:positionH>
            <wp:positionV relativeFrom="paragraph">
              <wp:posOffset>-664208</wp:posOffset>
            </wp:positionV>
            <wp:extent cx="964565" cy="861695"/>
            <wp:effectExtent l="0" t="0" r="0" b="0"/>
            <wp:wrapNone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483B" w:rsidRDefault="007315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                         Material escolar.</w:t>
      </w:r>
    </w:p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>
      <w:pPr>
        <w:jc w:val="center"/>
      </w:pPr>
    </w:p>
    <w:p w:rsidR="009E483B" w:rsidRDefault="0073150F">
      <w:pPr>
        <w:jc w:val="center"/>
      </w:pPr>
      <w:r>
        <w:t xml:space="preserve"> Campina Grande</w:t>
      </w:r>
    </w:p>
    <w:p w:rsidR="009E483B" w:rsidRDefault="0073150F">
      <w:pPr>
        <w:jc w:val="center"/>
      </w:pPr>
      <w:r>
        <w:t>Janeiro de 2022</w:t>
      </w:r>
    </w:p>
    <w:p w:rsidR="009E483B" w:rsidRDefault="0073150F">
      <w:pPr>
        <w:pageBreakBefore/>
      </w:pPr>
      <w:r>
        <w:rPr>
          <w:rFonts w:ascii="Verdana" w:eastAsia="Verdana" w:hAnsi="Verdana" w:cs="Verdana"/>
          <w:b/>
        </w:rPr>
        <w:lastRenderedPageBreak/>
        <w:t>© 2019. Fundo Municipal de Defesa de Direitos Difusos PROCON de Campina Grande/PB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-736598</wp:posOffset>
                </wp:positionH>
                <wp:positionV relativeFrom="paragraph">
                  <wp:posOffset>127000</wp:posOffset>
                </wp:positionV>
                <wp:extent cx="3568065" cy="80899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8089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4BACC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-736598</wp:posOffset>
                </wp:positionH>
                <wp:positionV relativeFrom="paragraph">
                  <wp:posOffset>127000</wp:posOffset>
                </wp:positionV>
                <wp:extent cx="3568065" cy="80899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065" cy="808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-444498</wp:posOffset>
                </wp:positionH>
                <wp:positionV relativeFrom="paragraph">
                  <wp:posOffset>127000</wp:posOffset>
                </wp:positionV>
                <wp:extent cx="3387725" cy="7194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72"/>
                              </w:rPr>
                              <w:t>Expediente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-444498</wp:posOffset>
                </wp:positionH>
                <wp:positionV relativeFrom="paragraph">
                  <wp:posOffset>127000</wp:posOffset>
                </wp:positionV>
                <wp:extent cx="3387725" cy="71945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7725" cy="719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-736598</wp:posOffset>
                </wp:positionH>
                <wp:positionV relativeFrom="paragraph">
                  <wp:posOffset>-698498</wp:posOffset>
                </wp:positionV>
                <wp:extent cx="7585075" cy="756000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075" cy="7560000"/>
                        </a:xfrm>
                        <a:prstGeom prst="rect">
                          <a:avLst/>
                        </a:prstGeom>
                        <a:blipFill rotWithShape="1">
                          <a:blip r:embed="rId11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-736598</wp:posOffset>
                </wp:positionH>
                <wp:positionV relativeFrom="paragraph">
                  <wp:posOffset>-698498</wp:posOffset>
                </wp:positionV>
                <wp:extent cx="7585075" cy="75600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5075" cy="756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483B" w:rsidRDefault="0073150F">
      <w:r>
        <w:rPr>
          <w:rFonts w:ascii="Verdana" w:eastAsia="Verdana" w:hAnsi="Verdana" w:cs="Verdana"/>
        </w:rPr>
        <w:t>É permitida a reprodução parcial ou total desta obra, desde que citada a fonte.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-447673</wp:posOffset>
                </wp:positionH>
                <wp:positionV relativeFrom="paragraph">
                  <wp:posOffset>0</wp:posOffset>
                </wp:positionV>
                <wp:extent cx="6957695" cy="75600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Bruno Cunha Lima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Prefeito do Município de Campina Grande/PB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Lucas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 Ribeiro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Vice-prefeito do Município de Campina Grande/PB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Aécio Melo.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Procuradoria Geral do Município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Saulo Muniz de Lima 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Coordenador Executivo do Procon de Campina Grande /PB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Edglay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 Marques Guimarães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Coordenação de Estágios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Maria do Socorro G.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Asfora</w:t>
                            </w:r>
                            <w:proofErr w:type="spellEnd"/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Gestão de Pessoas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Ana Cláudia Carneiro Chaves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Secretária Executiva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Pesquisa de Campo e Estatística: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Pesquisador estagiário: Gabriel Messias Santana Peixoto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Orientador: Ricardo Alves de Olinda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Departamento de Estatística- UEPB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CCT- Centro de Ciência e Tec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nologia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Assessoria de Comunicação - Eliane Fra</w:t>
                            </w:r>
                            <w:r w:rsidR="005B1F09"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ça</w:t>
                            </w:r>
                          </w:p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Projeto Gráfico e Diagramação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30" style="position:absolute;margin-left:-35.25pt;margin-top:0;width:547.85pt;height:59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Bruno Cunha Lima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Prefeito do Município de Campina Grande/PB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Lucas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 Ribeiro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Vice-prefeito do Município de Campina Grande/PB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Aécio Melo.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Procuradoria Geral do Município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Saulo Muniz de Lima 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Coordenador Executivo do Procon de Campina Grande /PB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Edglay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 Marques Guimarães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Coordenação de Estágios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Maria do Socorro G.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Asfora</w:t>
                      </w:r>
                      <w:proofErr w:type="spellEnd"/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Gestão de Pessoas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Ana Cláudia Carneiro Chaves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Secretária Executiva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Pesquisa de Campo e Estatística: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Pesquisador estagiário: Gabriel Messias Santana Peixoto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Orientador: Ricardo Alves de Olinda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Departamento de Estatística- UEPB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CCT- Centro de Ciência e Tec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nologia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Assessoria de Comunicação - Eliane Fra</w:t>
                      </w:r>
                      <w:r w:rsidR="005B1F09"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ça</w:t>
                      </w:r>
                    </w:p>
                    <w:p w:rsidR="009E483B" w:rsidRDefault="0073150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Projeto Gráfico e Diagramação</w:t>
                      </w: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9E483B">
                      <w:pPr>
                        <w:textDirection w:val="btLr"/>
                      </w:pPr>
                    </w:p>
                    <w:p w:rsidR="009E483B" w:rsidRDefault="009E48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E483B" w:rsidRDefault="009E483B"/>
    <w:p w:rsidR="009E483B" w:rsidRDefault="009E483B">
      <w:pPr>
        <w:rPr>
          <w:sz w:val="40"/>
          <w:szCs w:val="40"/>
        </w:rPr>
      </w:pPr>
    </w:p>
    <w:p w:rsidR="009E483B" w:rsidRDefault="009E483B">
      <w:pPr>
        <w:rPr>
          <w:sz w:val="40"/>
          <w:szCs w:val="40"/>
        </w:rPr>
      </w:pPr>
    </w:p>
    <w:p w:rsidR="009E483B" w:rsidRDefault="0073150F">
      <w:r>
        <w:rPr>
          <w:rFonts w:ascii="Verdana" w:eastAsia="Verdana" w:hAnsi="Verdana" w:cs="Verdana"/>
          <w:b/>
          <w:color w:val="244061"/>
          <w:sz w:val="32"/>
          <w:szCs w:val="32"/>
        </w:rPr>
        <w:t>EXPEDIENTE</w:t>
      </w:r>
    </w:p>
    <w:p w:rsidR="009E483B" w:rsidRDefault="009E483B"/>
    <w:p w:rsidR="009E483B" w:rsidRDefault="0073150F">
      <w:r>
        <w:rPr>
          <w:rFonts w:ascii="Verdana" w:eastAsia="Verdana" w:hAnsi="Verdana" w:cs="Verdana"/>
          <w:b/>
          <w:color w:val="1F497D"/>
          <w:sz w:val="32"/>
          <w:szCs w:val="32"/>
        </w:rPr>
        <w:t xml:space="preserve">Educação </w:t>
      </w:r>
      <w:r>
        <w:rPr>
          <w:rFonts w:ascii="Verdana" w:eastAsia="Verdana" w:hAnsi="Verdana" w:cs="Verdana"/>
          <w:b/>
          <w:color w:val="1F497D"/>
          <w:sz w:val="32"/>
          <w:szCs w:val="32"/>
        </w:rPr>
        <w:br/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Relatório da Pesquisa de Material Escolar para o mês de dezembro </w:t>
      </w:r>
      <w:r>
        <w:rPr>
          <w:rFonts w:ascii="Verdana" w:eastAsia="Verdana" w:hAnsi="Verdana" w:cs="Verdana"/>
          <w:sz w:val="32"/>
          <w:szCs w:val="32"/>
        </w:rPr>
        <w:br/>
      </w:r>
      <w:r>
        <w:rPr>
          <w:rFonts w:ascii="Verdana" w:eastAsia="Verdana" w:hAnsi="Verdana" w:cs="Verdana"/>
          <w:b/>
          <w:color w:val="1F497D"/>
          <w:sz w:val="32"/>
          <w:szCs w:val="32"/>
        </w:rPr>
        <w:t>Ano 2018</w:t>
      </w: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73150F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PROCON de Campina Grande/PB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Rua Prefeito Ernani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Lauritzen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>, 226 – Centro</w:t>
      </w:r>
      <w:r>
        <w:rPr>
          <w:rFonts w:ascii="Verdana" w:eastAsia="Verdana" w:hAnsi="Verdana" w:cs="Verdana"/>
          <w:color w:val="000000"/>
          <w:sz w:val="28"/>
          <w:szCs w:val="28"/>
        </w:rPr>
        <w:br/>
        <w:t>CEP: 58400-133 – Campina Grande/PB</w:t>
      </w:r>
      <w:r>
        <w:rPr>
          <w:rFonts w:ascii="Verdana" w:eastAsia="Verdana" w:hAnsi="Verdana" w:cs="Verdana"/>
          <w:color w:val="000000"/>
          <w:sz w:val="28"/>
          <w:szCs w:val="28"/>
        </w:rPr>
        <w:br/>
        <w:t xml:space="preserve">Tel.: (83) 3242-9179, </w:t>
      </w:r>
    </w:p>
    <w:p w:rsidR="009E483B" w:rsidRDefault="0073150F">
      <w:r>
        <w:rPr>
          <w:rFonts w:ascii="Verdana" w:eastAsia="Verdana" w:hAnsi="Verdana" w:cs="Verdana"/>
          <w:color w:val="000000"/>
          <w:sz w:val="28"/>
          <w:szCs w:val="28"/>
        </w:rPr>
        <w:t xml:space="preserve">E-mail: </w:t>
      </w:r>
      <w:hyperlink r:id="rId13">
        <w:r>
          <w:rPr>
            <w:rFonts w:ascii="Verdana" w:eastAsia="Verdana" w:hAnsi="Verdana" w:cs="Verdana"/>
            <w:color w:val="000000"/>
            <w:sz w:val="28"/>
            <w:szCs w:val="28"/>
          </w:rPr>
          <w:t>contato@procon.campinagrande.pb.gov.b</w:t>
        </w:r>
      </w:hyperlink>
      <w:r>
        <w:rPr>
          <w:rFonts w:ascii="Verdana" w:eastAsia="Verdana" w:hAnsi="Verdana" w:cs="Verdana"/>
          <w:color w:val="000000"/>
          <w:sz w:val="28"/>
          <w:szCs w:val="28"/>
        </w:rPr>
        <w:t>r</w:t>
      </w:r>
    </w:p>
    <w:p w:rsidR="009E483B" w:rsidRDefault="009E483B">
      <w:pPr>
        <w:rPr>
          <w:rFonts w:ascii="Verdana" w:eastAsia="Verdana" w:hAnsi="Verdana" w:cs="Verdana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sz w:val="28"/>
          <w:szCs w:val="28"/>
        </w:rPr>
      </w:pPr>
    </w:p>
    <w:p w:rsidR="009E483B" w:rsidRDefault="0073150F">
      <w:r>
        <w:rPr>
          <w:rFonts w:ascii="Verdana" w:eastAsia="Verdana" w:hAnsi="Verdana" w:cs="Verdana"/>
          <w:b/>
          <w:color w:val="1F497D"/>
          <w:sz w:val="28"/>
          <w:szCs w:val="28"/>
        </w:rPr>
        <w:t xml:space="preserve">Elaboração 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de Conteúdo:</w:t>
      </w:r>
    </w:p>
    <w:p w:rsidR="009E483B" w:rsidRDefault="0073150F">
      <w:r>
        <w:rPr>
          <w:rFonts w:ascii="Verdana" w:eastAsia="Verdana" w:hAnsi="Verdana" w:cs="Verdana"/>
          <w:color w:val="000000"/>
          <w:sz w:val="28"/>
          <w:szCs w:val="28"/>
        </w:rPr>
        <w:t>Rivaldo Rodrigues Cavalcante Jr</w:t>
      </w:r>
    </w:p>
    <w:p w:rsidR="009E483B" w:rsidRDefault="0073150F">
      <w:r>
        <w:rPr>
          <w:rFonts w:ascii="Verdana" w:eastAsia="Verdana" w:hAnsi="Verdana" w:cs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eastAsia="Verdana" w:hAnsi="Verdana" w:cs="Verdana"/>
          <w:color w:val="000000"/>
          <w:sz w:val="28"/>
          <w:szCs w:val="28"/>
        </w:rPr>
        <w:br/>
      </w:r>
    </w:p>
    <w:p w:rsidR="009E483B" w:rsidRDefault="0073150F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:rsidR="009E483B" w:rsidRDefault="0073150F">
      <w:r>
        <w:rPr>
          <w:rFonts w:ascii="Verdana" w:eastAsia="Verdana" w:hAnsi="Verdana" w:cs="Verdana"/>
          <w:b/>
          <w:color w:val="000000"/>
          <w:sz w:val="28"/>
          <w:szCs w:val="28"/>
        </w:rPr>
        <w:t>Pesquisador estagiário: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Wylliam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Eduardo Alves Silva</w:t>
      </w:r>
    </w:p>
    <w:p w:rsidR="009E483B" w:rsidRDefault="0073150F">
      <w:r>
        <w:rPr>
          <w:rFonts w:ascii="Verdana" w:eastAsia="Verdana" w:hAnsi="Verdana" w:cs="Verdana"/>
          <w:color w:val="000000"/>
          <w:sz w:val="28"/>
          <w:szCs w:val="28"/>
        </w:rPr>
        <w:t>Orientador: Ricardo Alves de Olinda</w:t>
      </w:r>
    </w:p>
    <w:p w:rsidR="009E483B" w:rsidRDefault="0073150F"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UEPB</w:t>
      </w:r>
    </w:p>
    <w:p w:rsidR="009E483B" w:rsidRDefault="0073150F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CCT- Centro de Ciência e Tecnologia</w:t>
      </w:r>
    </w:p>
    <w:p w:rsidR="009E483B" w:rsidRDefault="0073150F">
      <w:r>
        <w:rPr>
          <w:rFonts w:ascii="Verdana" w:eastAsia="Verdana" w:hAnsi="Verdana" w:cs="Verdana"/>
          <w:b/>
          <w:color w:val="000000"/>
          <w:sz w:val="28"/>
          <w:szCs w:val="28"/>
        </w:rPr>
        <w:t>Coordenadora de Campo</w:t>
      </w:r>
      <w:r>
        <w:rPr>
          <w:rFonts w:ascii="Verdana" w:eastAsia="Verdana" w:hAnsi="Verdana" w:cs="Verdana"/>
          <w:color w:val="000000"/>
          <w:sz w:val="28"/>
          <w:szCs w:val="28"/>
        </w:rPr>
        <w:t>: Ana Cláudia Carneiro Chaves</w:t>
      </w:r>
      <w:r>
        <w:rPr>
          <w:rFonts w:ascii="Verdana" w:eastAsia="Verdana" w:hAnsi="Verdana" w:cs="Verdana"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Motorista: </w:t>
      </w:r>
      <w:r>
        <w:rPr>
          <w:rFonts w:ascii="Verdana" w:eastAsia="Verdana" w:hAnsi="Verdana" w:cs="Verdana"/>
          <w:color w:val="000000"/>
          <w:sz w:val="28"/>
          <w:szCs w:val="28"/>
        </w:rPr>
        <w:t>José Miguel de Sousa</w:t>
      </w: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73150F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:rsidR="009E483B" w:rsidRDefault="0073150F">
      <w:r>
        <w:rPr>
          <w:rFonts w:ascii="Verdana" w:eastAsia="Verdana" w:hAnsi="Verdana" w:cs="Verdana"/>
          <w:color w:val="000000"/>
          <w:sz w:val="28"/>
          <w:szCs w:val="28"/>
        </w:rPr>
        <w:t>Assessoria de Comunicação</w:t>
      </w: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73150F">
      <w:pPr>
        <w:rPr>
          <w:rFonts w:ascii="Verdana" w:eastAsia="Verdana" w:hAnsi="Verdana" w:cs="Verdana"/>
          <w:color w:val="1F497D"/>
          <w:sz w:val="48"/>
          <w:szCs w:val="48"/>
        </w:rPr>
      </w:pPr>
      <w:r>
        <w:rPr>
          <w:rFonts w:ascii="Verdana" w:eastAsia="Verdana" w:hAnsi="Verdana" w:cs="Verdana"/>
          <w:b/>
          <w:color w:val="1F497D"/>
          <w:sz w:val="48"/>
          <w:szCs w:val="48"/>
        </w:rPr>
        <w:lastRenderedPageBreak/>
        <w:t>Sumário</w:t>
      </w:r>
    </w:p>
    <w:p w:rsidR="009E483B" w:rsidRDefault="0073150F">
      <w:pPr>
        <w:rPr>
          <w:color w:val="1F497D"/>
        </w:rPr>
      </w:pPr>
      <w:r>
        <w:br w:type="page"/>
      </w:r>
      <w:r>
        <w:rPr>
          <w:rFonts w:ascii="Verdana" w:eastAsia="Verdana" w:hAnsi="Verdana" w:cs="Verdana"/>
          <w:b/>
          <w:color w:val="1F497D"/>
        </w:rPr>
        <w:lastRenderedPageBreak/>
        <w:t>1. Apresentação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-342897</wp:posOffset>
                </wp:positionH>
                <wp:positionV relativeFrom="paragraph">
                  <wp:posOffset>139700</wp:posOffset>
                </wp:positionV>
                <wp:extent cx="6807200" cy="54864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83B" w:rsidRDefault="009E483B">
                            <w:pPr>
                              <w:textDirection w:val="btLr"/>
                            </w:pPr>
                          </w:p>
                          <w:p w:rsidR="009E483B" w:rsidRDefault="0073150F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Apresentação........................................................4</w:t>
                            </w:r>
                          </w:p>
                          <w:p w:rsidR="009E483B" w:rsidRDefault="0073150F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Resultados ...........................................................5</w:t>
                            </w:r>
                          </w:p>
                          <w:p w:rsidR="009E483B" w:rsidRDefault="0073150F">
                            <w:pPr>
                              <w:spacing w:line="60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2.1. Abastecimento...................................................5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ab/>
                            </w:r>
                          </w:p>
                          <w:p w:rsidR="009E483B" w:rsidRDefault="0073150F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Relação Geral dos materiais pesquisados..............9</w:t>
                            </w:r>
                          </w:p>
                          <w:p w:rsidR="009E483B" w:rsidRDefault="0073150F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Dicas e Orientações...............................................11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-342897</wp:posOffset>
                </wp:positionH>
                <wp:positionV relativeFrom="paragraph">
                  <wp:posOffset>139700</wp:posOffset>
                </wp:positionV>
                <wp:extent cx="6807200" cy="54864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548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483B" w:rsidRDefault="009E483B">
      <w:pPr>
        <w:rPr>
          <w:rFonts w:ascii="Verdana" w:eastAsia="Verdana" w:hAnsi="Verdana" w:cs="Verdana"/>
          <w:color w:val="042B55"/>
        </w:rPr>
      </w:pPr>
    </w:p>
    <w:p w:rsidR="009E483B" w:rsidRDefault="0073150F">
      <w:pPr>
        <w:spacing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A equipe de Pesquisa de Campo e Estatística do Fundo Municipal de Defesa de Direitos Difusos PROCON de Campina Grande/PB em parce</w:t>
      </w:r>
      <w:r>
        <w:rPr>
          <w:rFonts w:ascii="Arial" w:eastAsia="Arial" w:hAnsi="Arial" w:cs="Arial"/>
        </w:rPr>
        <w:t xml:space="preserve">ria com o Departamento de Estatística da Universidade Estadual da Paraíba (UEPB), realizou pesquisa comparativa de preço de alguns materiais escolares, </w:t>
      </w:r>
      <w:r>
        <w:rPr>
          <w:rFonts w:ascii="Arial" w:eastAsia="Arial" w:hAnsi="Arial" w:cs="Arial"/>
        </w:rPr>
        <w:t xml:space="preserve">no </w:t>
      </w:r>
      <w:proofErr w:type="gramStart"/>
      <w:r>
        <w:rPr>
          <w:rFonts w:ascii="Arial" w:eastAsia="Arial" w:hAnsi="Arial" w:cs="Arial"/>
        </w:rPr>
        <w:t xml:space="preserve">dia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05</w:t>
      </w:r>
      <w:proofErr w:type="gram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Janeiro</w:t>
      </w:r>
      <w:r>
        <w:rPr>
          <w:rFonts w:ascii="Arial" w:eastAsia="Arial" w:hAnsi="Arial" w:cs="Arial"/>
        </w:rPr>
        <w:t xml:space="preserve"> de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em 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estabelecimentos comerciais da cidade. Na oportunidade a pesquisa c</w:t>
      </w:r>
      <w:r>
        <w:rPr>
          <w:rFonts w:ascii="Arial" w:eastAsia="Arial" w:hAnsi="Arial" w:cs="Arial"/>
        </w:rPr>
        <w:t>omparou os preços de 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itens que mais saem neste período. A coleta de preços foi realizada em lojas físicas da cidade e para comparação e divulgação foram selecionados produtos por marca e com o preço mais em conta. Para análise científica dos preços foi </w:t>
      </w:r>
      <w:r>
        <w:rPr>
          <w:rFonts w:ascii="Arial" w:eastAsia="Arial" w:hAnsi="Arial" w:cs="Arial"/>
        </w:rPr>
        <w:t>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:rsidR="009E483B" w:rsidRDefault="009E483B">
      <w:pPr>
        <w:spacing w:line="360" w:lineRule="auto"/>
        <w:jc w:val="both"/>
        <w:rPr>
          <w:rFonts w:ascii="Verdana" w:eastAsia="Verdana" w:hAnsi="Verdana" w:cs="Verdana"/>
        </w:rPr>
      </w:pP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Seguem os endereços </w:t>
      </w:r>
      <w:r>
        <w:rPr>
          <w:rFonts w:ascii="Verdana" w:eastAsia="Verdana" w:hAnsi="Verdana" w:cs="Verdana"/>
        </w:rPr>
        <w:t>das lojas pesquisadas</w:t>
      </w: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Casa do colegial - Praça da Bandeira, 50 - Centro.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Lojão</w:t>
      </w:r>
      <w:proofErr w:type="spellEnd"/>
      <w:r>
        <w:rPr>
          <w:rFonts w:ascii="Verdana" w:eastAsia="Verdana" w:hAnsi="Verdana" w:cs="Verdana"/>
          <w:color w:val="000000"/>
        </w:rPr>
        <w:t xml:space="preserve"> do colegial - Rua Venâncio Neiva, 57 – Centro.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Papelaria Compasso - Rua Félix Araújo, 117 – Centro.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Papelaria Rocha - Rua Pres. João Pessoa, 39 – Centro.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202124"/>
          <w:highlight w:val="white"/>
        </w:rPr>
        <w:t> Brasil Atacado - R. Pres. João Pessoa, 287 - 299 – Centro.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202124"/>
          <w:highlight w:val="white"/>
        </w:rPr>
        <w:t>Lojas Americanas -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202124"/>
          <w:highlight w:val="white"/>
        </w:rPr>
        <w:t>Av. Pref. Severino Bezerra Cabral, 1190 - José Pinheiro.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202124"/>
          <w:highlight w:val="white"/>
        </w:rPr>
        <w:t>Lê Biscuit -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202124"/>
          <w:highlight w:val="white"/>
        </w:rPr>
        <w:t>Av. Pref. Severino Bezerra Cabral, 1050 – Catolé.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rFonts w:ascii="Verdana" w:eastAsia="Verdana" w:hAnsi="Verdana" w:cs="Verdana"/>
          <w:color w:val="202124"/>
          <w:highlight w:val="white"/>
        </w:rPr>
        <w:t xml:space="preserve">Livraria Leitura - Av. Pref. Severino Bezerra Cabral, </w:t>
      </w:r>
      <w:r>
        <w:rPr>
          <w:rFonts w:ascii="Verdana" w:eastAsia="Verdana" w:hAnsi="Verdana" w:cs="Verdana"/>
          <w:color w:val="202124"/>
          <w:highlight w:val="white"/>
        </w:rPr>
        <w:t>1050 - Catolé</w:t>
      </w:r>
    </w:p>
    <w:p w:rsidR="009E483B" w:rsidRDefault="009E483B">
      <w:pPr>
        <w:rPr>
          <w:rFonts w:ascii="Verdana" w:eastAsia="Verdana" w:hAnsi="Verdana" w:cs="Verdana"/>
          <w:color w:val="1F497D"/>
        </w:rPr>
      </w:pPr>
    </w:p>
    <w:p w:rsidR="009E483B" w:rsidRDefault="009E483B">
      <w:pPr>
        <w:rPr>
          <w:rFonts w:ascii="Verdana" w:eastAsia="Verdana" w:hAnsi="Verdana" w:cs="Verdana"/>
          <w:color w:val="1F497D"/>
        </w:rPr>
      </w:pPr>
    </w:p>
    <w:p w:rsidR="009E483B" w:rsidRDefault="009E483B">
      <w:pPr>
        <w:rPr>
          <w:rFonts w:ascii="Verdana" w:eastAsia="Verdana" w:hAnsi="Verdana" w:cs="Verdana"/>
          <w:color w:val="1F497D"/>
        </w:rPr>
      </w:pPr>
    </w:p>
    <w:p w:rsidR="009E483B" w:rsidRDefault="0073150F">
      <w:pPr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b/>
          <w:color w:val="1F497D"/>
        </w:rPr>
        <w:t>2. Resultados</w:t>
      </w:r>
    </w:p>
    <w:p w:rsidR="009E483B" w:rsidRDefault="009E483B">
      <w:pPr>
        <w:ind w:left="360"/>
        <w:rPr>
          <w:rFonts w:ascii="Verdana" w:eastAsia="Verdana" w:hAnsi="Verdana" w:cs="Verdana"/>
          <w:color w:val="548DD4"/>
        </w:rPr>
      </w:pPr>
    </w:p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Nesta seção serão apresentados os principais resultados da pesquisa de preços de material escolar realizada pelo Procon de Campina Grande –PB. </w:t>
      </w:r>
    </w:p>
    <w:p w:rsidR="009E483B" w:rsidRDefault="0073150F">
      <w:pPr>
        <w:ind w:firstLine="709"/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b/>
          <w:color w:val="1F497D"/>
        </w:rPr>
        <w:t>2.1 Abastecimento</w:t>
      </w:r>
    </w:p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Percentual de abastecimento por região, em relação ao total (2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itens).</w:t>
      </w:r>
    </w:p>
    <w:tbl>
      <w:tblPr>
        <w:tblStyle w:val="a"/>
        <w:tblW w:w="977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83"/>
        <w:gridCol w:w="2814"/>
        <w:gridCol w:w="2419"/>
        <w:gridCol w:w="3362"/>
      </w:tblGrid>
      <w:tr w:rsidR="009E483B">
        <w:trPr>
          <w:trHeight w:val="612"/>
        </w:trPr>
        <w:tc>
          <w:tcPr>
            <w:tcW w:w="11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lastRenderedPageBreak/>
              <w:t>Região</w:t>
            </w:r>
          </w:p>
        </w:tc>
        <w:tc>
          <w:tcPr>
            <w:tcW w:w="28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Estabelecimentos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Itens encontrados</w:t>
            </w:r>
          </w:p>
        </w:tc>
        <w:tc>
          <w:tcPr>
            <w:tcW w:w="336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Percentual de </w:t>
            </w:r>
            <w:proofErr w:type="gramStart"/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abastecimento(</w:t>
            </w:r>
            <w:proofErr w:type="gramEnd"/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%)</w:t>
            </w:r>
          </w:p>
        </w:tc>
      </w:tr>
      <w:tr w:rsidR="009E483B">
        <w:trPr>
          <w:trHeight w:val="432"/>
        </w:trPr>
        <w:tc>
          <w:tcPr>
            <w:tcW w:w="1183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Centro</w:t>
            </w:r>
          </w:p>
        </w:tc>
        <w:tc>
          <w:tcPr>
            <w:tcW w:w="28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Casa do colegial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16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72,73%</w:t>
            </w:r>
          </w:p>
        </w:tc>
      </w:tr>
      <w:tr w:rsidR="009E483B">
        <w:trPr>
          <w:trHeight w:val="444"/>
        </w:trPr>
        <w:tc>
          <w:tcPr>
            <w:tcW w:w="118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Brasil Atacado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68,18%</w:t>
            </w:r>
          </w:p>
        </w:tc>
      </w:tr>
      <w:tr w:rsidR="009E483B">
        <w:trPr>
          <w:trHeight w:val="300"/>
        </w:trPr>
        <w:tc>
          <w:tcPr>
            <w:tcW w:w="118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Lojão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do colegial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17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77,27%</w:t>
            </w:r>
          </w:p>
        </w:tc>
      </w:tr>
      <w:tr w:rsidR="009E483B">
        <w:trPr>
          <w:trHeight w:val="300"/>
        </w:trPr>
        <w:tc>
          <w:tcPr>
            <w:tcW w:w="118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Papelaria Compasso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12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54,55%</w:t>
            </w:r>
          </w:p>
        </w:tc>
      </w:tr>
      <w:tr w:rsidR="009E483B">
        <w:trPr>
          <w:trHeight w:val="300"/>
        </w:trPr>
        <w:tc>
          <w:tcPr>
            <w:tcW w:w="118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papelaria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Rocha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9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40,91%</w:t>
            </w:r>
          </w:p>
        </w:tc>
      </w:tr>
      <w:tr w:rsidR="009E483B">
        <w:trPr>
          <w:trHeight w:val="300"/>
        </w:trPr>
        <w:tc>
          <w:tcPr>
            <w:tcW w:w="1183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Shopping</w:t>
            </w:r>
          </w:p>
        </w:tc>
        <w:tc>
          <w:tcPr>
            <w:tcW w:w="2814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Americanas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4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18,18%</w:t>
            </w:r>
          </w:p>
        </w:tc>
      </w:tr>
      <w:tr w:rsidR="009E483B">
        <w:trPr>
          <w:trHeight w:val="300"/>
        </w:trPr>
        <w:tc>
          <w:tcPr>
            <w:tcW w:w="118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Lê Biscuit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9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40,91%</w:t>
            </w:r>
          </w:p>
        </w:tc>
      </w:tr>
      <w:tr w:rsidR="009E483B">
        <w:trPr>
          <w:trHeight w:val="300"/>
        </w:trPr>
        <w:tc>
          <w:tcPr>
            <w:tcW w:w="118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Livraria Leitura</w:t>
            </w:r>
          </w:p>
        </w:tc>
        <w:tc>
          <w:tcPr>
            <w:tcW w:w="241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68,18%</w:t>
            </w:r>
          </w:p>
        </w:tc>
      </w:tr>
    </w:tbl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 melhor compreensão segue o gráfico que mostra o percentual de abastecimento em cada estabelecimento pesquisado:</w:t>
      </w:r>
    </w:p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Gráfico 1: Abastecimento por estabelecimento:</w:t>
      </w:r>
    </w:p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114300" distB="114300" distL="114300" distR="114300">
            <wp:extent cx="6119820" cy="378460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  <w:szCs w:val="20"/>
        </w:rPr>
        <w:t>Fonte: PROCON Municipal de Campina Grande-PB</w:t>
      </w:r>
      <w:r>
        <w:rPr>
          <w:rFonts w:ascii="Verdana" w:eastAsia="Verdana" w:hAnsi="Verdana" w:cs="Verdana"/>
          <w:color w:val="000000"/>
        </w:rPr>
        <w:tab/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</w:p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 acordo com o levantamento feito uma resma de papel ofício A4 da marca Copimax custa em média R$ 2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color w:val="000000"/>
        </w:rPr>
        <w:t>,</w:t>
      </w:r>
      <w:r>
        <w:rPr>
          <w:rFonts w:ascii="Verdana" w:eastAsia="Verdana" w:hAnsi="Verdana" w:cs="Verdana"/>
        </w:rPr>
        <w:t>32</w:t>
      </w:r>
      <w:r>
        <w:rPr>
          <w:rFonts w:ascii="Verdana" w:eastAsia="Verdana" w:hAnsi="Verdana" w:cs="Verdana"/>
          <w:color w:val="000000"/>
        </w:rPr>
        <w:t xml:space="preserve">. O menor valor encontrado para esse tipo de papel foi de R$ </w:t>
      </w:r>
      <w:r>
        <w:rPr>
          <w:rFonts w:ascii="Verdana" w:eastAsia="Verdana" w:hAnsi="Verdana" w:cs="Verdana"/>
        </w:rPr>
        <w:t>20,99</w:t>
      </w:r>
      <w:r>
        <w:rPr>
          <w:rFonts w:ascii="Verdana" w:eastAsia="Verdana" w:hAnsi="Verdana" w:cs="Verdana"/>
          <w:color w:val="000000"/>
        </w:rPr>
        <w:t xml:space="preserve"> e o maior R$ </w:t>
      </w:r>
      <w:r>
        <w:rPr>
          <w:rFonts w:ascii="Verdana" w:eastAsia="Verdana" w:hAnsi="Verdana" w:cs="Verdana"/>
        </w:rPr>
        <w:t>26,80</w:t>
      </w:r>
      <w:r>
        <w:rPr>
          <w:rFonts w:ascii="Verdana" w:eastAsia="Verdana" w:hAnsi="Verdana" w:cs="Verdana"/>
          <w:color w:val="000000"/>
        </w:rPr>
        <w:t>. Quem pesquisar pod</w:t>
      </w:r>
      <w:r>
        <w:rPr>
          <w:rFonts w:ascii="Verdana" w:eastAsia="Verdana" w:hAnsi="Verdana" w:cs="Verdana"/>
          <w:color w:val="000000"/>
        </w:rPr>
        <w:t xml:space="preserve">e ter uma economia de R$ </w:t>
      </w:r>
      <w:r>
        <w:rPr>
          <w:rFonts w:ascii="Verdana" w:eastAsia="Verdana" w:hAnsi="Verdana" w:cs="Verdana"/>
        </w:rPr>
        <w:t>5,81</w:t>
      </w:r>
      <w:r>
        <w:rPr>
          <w:rFonts w:ascii="Verdana" w:eastAsia="Verdana" w:hAnsi="Verdana" w:cs="Verdana"/>
          <w:color w:val="000000"/>
        </w:rPr>
        <w:t xml:space="preserve"> para este produto e o estabelecimento que apresentou o menor preço disponível no momento da pesquisa foi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Brasil Atacado.</w:t>
      </w:r>
    </w:p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A </w:t>
      </w:r>
      <w:r>
        <w:rPr>
          <w:rFonts w:ascii="Verdana" w:eastAsia="Verdana" w:hAnsi="Verdana" w:cs="Verdana"/>
          <w:i/>
          <w:color w:val="000000"/>
        </w:rPr>
        <w:t>Tabela 1</w:t>
      </w:r>
      <w:r>
        <w:rPr>
          <w:rFonts w:ascii="Verdana" w:eastAsia="Verdana" w:hAnsi="Verdana" w:cs="Verdana"/>
          <w:color w:val="000000"/>
        </w:rPr>
        <w:t xml:space="preserve"> a seguir consta as informações sobre giz de cera e lápis de cor no tamanho grande, a caixa c</w:t>
      </w:r>
      <w:r>
        <w:rPr>
          <w:rFonts w:ascii="Verdana" w:eastAsia="Verdana" w:hAnsi="Verdana" w:cs="Verdana"/>
          <w:color w:val="000000"/>
        </w:rPr>
        <w:t xml:space="preserve">om 12 unidades. O lápis de cor da marca Faber </w:t>
      </w:r>
      <w:proofErr w:type="spellStart"/>
      <w:r>
        <w:rPr>
          <w:rFonts w:ascii="Verdana" w:eastAsia="Verdana" w:hAnsi="Verdana" w:cs="Verdana"/>
          <w:color w:val="000000"/>
        </w:rPr>
        <w:t>Castell</w:t>
      </w:r>
      <w:proofErr w:type="spellEnd"/>
      <w:r>
        <w:rPr>
          <w:rFonts w:ascii="Verdana" w:eastAsia="Verdana" w:hAnsi="Verdana" w:cs="Verdana"/>
          <w:color w:val="000000"/>
        </w:rPr>
        <w:t xml:space="preserve"> custa em média </w:t>
      </w:r>
      <w:r>
        <w:rPr>
          <w:rFonts w:ascii="Verdana" w:eastAsia="Verdana" w:hAnsi="Verdana" w:cs="Verdana"/>
        </w:rPr>
        <w:t>R $17,83,</w:t>
      </w:r>
      <w:r>
        <w:rPr>
          <w:rFonts w:ascii="Verdana" w:eastAsia="Verdana" w:hAnsi="Verdana" w:cs="Verdana"/>
          <w:color w:val="000000"/>
        </w:rPr>
        <w:t xml:space="preserve"> já o da marca Multicolor custa R$ </w:t>
      </w:r>
      <w:r>
        <w:rPr>
          <w:rFonts w:ascii="Verdana" w:eastAsia="Verdana" w:hAnsi="Verdana" w:cs="Verdana"/>
        </w:rPr>
        <w:t>6,76</w:t>
      </w:r>
      <w:r>
        <w:rPr>
          <w:rFonts w:ascii="Verdana" w:eastAsia="Verdana" w:hAnsi="Verdana" w:cs="Verdana"/>
          <w:color w:val="000000"/>
        </w:rPr>
        <w:t xml:space="preserve">. </w:t>
      </w:r>
    </w:p>
    <w:p w:rsidR="009E483B" w:rsidRDefault="009E4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</w:p>
    <w:p w:rsidR="009E483B" w:rsidRDefault="009E483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E483B" w:rsidRDefault="009E483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E483B" w:rsidRDefault="0073150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Tabela 1: Informações giz de cera e lápis.</w:t>
      </w:r>
    </w:p>
    <w:tbl>
      <w:tblPr>
        <w:tblStyle w:val="a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18"/>
        <w:gridCol w:w="1748"/>
        <w:gridCol w:w="1217"/>
        <w:gridCol w:w="1157"/>
        <w:gridCol w:w="990"/>
        <w:gridCol w:w="1182"/>
        <w:gridCol w:w="866"/>
      </w:tblGrid>
      <w:tr w:rsidR="009E483B">
        <w:trPr>
          <w:trHeight w:val="13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:rsidR="009E483B" w:rsidRDefault="0073150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Material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:rsidR="009E483B" w:rsidRDefault="0073150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Marca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:rsidR="009E483B" w:rsidRDefault="0073150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Menor preço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:rsidR="009E483B" w:rsidRDefault="0073150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Maior preço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:rsidR="009E483B" w:rsidRDefault="0073150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Diferença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:rsidR="009E483B" w:rsidRDefault="0073150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Preço médio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:rsidR="009E483B" w:rsidRDefault="0073150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Variação</w:t>
            </w:r>
          </w:p>
        </w:tc>
      </w:tr>
      <w:tr w:rsidR="009E483B">
        <w:trPr>
          <w:trHeight w:val="879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Giz de cera grosso (cx. 12 unidades)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R$ 5,39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R$ 8,90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R$ 3,51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R$ 6,60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65%</w:t>
            </w:r>
          </w:p>
        </w:tc>
      </w:tr>
      <w:tr w:rsidR="009E483B">
        <w:trPr>
          <w:trHeight w:val="1096"/>
        </w:trPr>
        <w:tc>
          <w:tcPr>
            <w:tcW w:w="2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Lápis de cor tamanho grande (cx. 12 unidades)</w:t>
            </w: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Faber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Castell</w:t>
            </w:r>
            <w:proofErr w:type="spellEnd"/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R$ 7,50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R$ 29,95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R$ 22,45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R$ 17,83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299%</w:t>
            </w:r>
          </w:p>
        </w:tc>
      </w:tr>
      <w:tr w:rsidR="009E483B">
        <w:trPr>
          <w:trHeight w:val="1318"/>
        </w:trPr>
        <w:tc>
          <w:tcPr>
            <w:tcW w:w="2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Lápis de cor tamanho grande (cx. 12 unidades)</w:t>
            </w: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Multicolor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R$ 4,79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R$ 9,50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R$ 4,71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R$ 6,76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98%</w:t>
            </w:r>
          </w:p>
        </w:tc>
      </w:tr>
    </w:tbl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Fonte: PROCON Municipal de Campina Grande-PB.</w:t>
      </w:r>
    </w:p>
    <w:p w:rsidR="009E483B" w:rsidRDefault="009E483B">
      <w:pPr>
        <w:ind w:firstLine="708"/>
        <w:jc w:val="both"/>
        <w:rPr>
          <w:rFonts w:ascii="Verdana" w:eastAsia="Verdana" w:hAnsi="Verdana" w:cs="Verdana"/>
        </w:rPr>
      </w:pPr>
    </w:p>
    <w:p w:rsidR="009E483B" w:rsidRDefault="0073150F">
      <w:pPr>
        <w:spacing w:line="360" w:lineRule="auto"/>
        <w:ind w:firstLine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i/>
        </w:rPr>
        <w:t>Tabela 2</w:t>
      </w:r>
      <w:r>
        <w:rPr>
          <w:rFonts w:ascii="Verdana" w:eastAsia="Verdana" w:hAnsi="Verdana" w:cs="Verdana"/>
        </w:rPr>
        <w:t xml:space="preserve"> consta as informações sobre os preços de pincel e tesoura. Observe que o Pincel nº 20 custa em média R$ </w:t>
      </w:r>
      <w:r>
        <w:rPr>
          <w:rFonts w:ascii="Verdana" w:eastAsia="Verdana" w:hAnsi="Verdana" w:cs="Verdana"/>
        </w:rPr>
        <w:t>8,46</w:t>
      </w:r>
      <w:r>
        <w:rPr>
          <w:rFonts w:ascii="Verdana" w:eastAsia="Verdana" w:hAnsi="Verdana" w:cs="Verdana"/>
        </w:rPr>
        <w:t xml:space="preserve">. O menor valor encontrado para esse material foi R$ </w:t>
      </w:r>
      <w:r>
        <w:rPr>
          <w:rFonts w:ascii="Verdana" w:eastAsia="Verdana" w:hAnsi="Verdana" w:cs="Verdana"/>
        </w:rPr>
        <w:t>4,99</w:t>
      </w:r>
      <w:r>
        <w:rPr>
          <w:rFonts w:ascii="Verdana" w:eastAsia="Verdana" w:hAnsi="Verdana" w:cs="Verdana"/>
        </w:rPr>
        <w:t xml:space="preserve"> e o maior R$ </w:t>
      </w:r>
      <w:r>
        <w:rPr>
          <w:rFonts w:ascii="Verdana" w:eastAsia="Verdana" w:hAnsi="Verdana" w:cs="Verdana"/>
        </w:rPr>
        <w:t>13,90</w:t>
      </w:r>
      <w:r>
        <w:rPr>
          <w:rFonts w:ascii="Verdana" w:eastAsia="Verdana" w:hAnsi="Verdana" w:cs="Verdana"/>
        </w:rPr>
        <w:t xml:space="preserve">, quem pesquisa pode fazer uma economia de R$ </w:t>
      </w:r>
      <w:r>
        <w:rPr>
          <w:rFonts w:ascii="Verdana" w:eastAsia="Verdana" w:hAnsi="Verdana" w:cs="Verdana"/>
        </w:rPr>
        <w:t>8,91</w:t>
      </w:r>
      <w:r>
        <w:rPr>
          <w:rFonts w:ascii="Verdana" w:eastAsia="Verdana" w:hAnsi="Verdana" w:cs="Verdana"/>
        </w:rPr>
        <w:t xml:space="preserve"> para o consumidor que comprar no local com o preço mais em conta. </w:t>
      </w:r>
    </w:p>
    <w:p w:rsidR="009E483B" w:rsidRDefault="0073150F">
      <w:pPr>
        <w:ind w:left="-142" w:hanging="9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          Tabela 2: Informações sobre pincel e tesoura.</w:t>
      </w:r>
    </w:p>
    <w:tbl>
      <w:tblPr>
        <w:tblStyle w:val="a1"/>
        <w:tblW w:w="99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715"/>
        <w:gridCol w:w="1677"/>
        <w:gridCol w:w="1596"/>
        <w:gridCol w:w="1334"/>
        <w:gridCol w:w="1672"/>
      </w:tblGrid>
      <w:tr w:rsidR="009E483B">
        <w:trPr>
          <w:trHeight w:val="288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1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Menor preço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Maior preço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Diferença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Preço médio</w:t>
            </w:r>
          </w:p>
        </w:tc>
      </w:tr>
      <w:tr w:rsidR="009E483B">
        <w:trPr>
          <w:trHeight w:val="324"/>
        </w:trPr>
        <w:tc>
          <w:tcPr>
            <w:tcW w:w="3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Pincel nº 16 (unidade)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R$ 2,99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R$ 9,90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R$ 6,91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R$ 5,96</w:t>
            </w:r>
          </w:p>
        </w:tc>
      </w:tr>
      <w:tr w:rsidR="009E483B">
        <w:trPr>
          <w:trHeight w:val="324"/>
        </w:trPr>
        <w:tc>
          <w:tcPr>
            <w:tcW w:w="3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Pincel nº 18 (unidade)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R$ 2,00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R$ 7,90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R$ 5,90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R$ 5,23</w:t>
            </w:r>
          </w:p>
        </w:tc>
      </w:tr>
      <w:tr w:rsidR="009E483B">
        <w:trPr>
          <w:trHeight w:val="324"/>
        </w:trPr>
        <w:tc>
          <w:tcPr>
            <w:tcW w:w="3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Pincel nº 20 (unidade)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R$ 4,99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R$ 13,90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R$ 8,91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R$ 8,46</w:t>
            </w:r>
          </w:p>
        </w:tc>
      </w:tr>
      <w:tr w:rsidR="009E483B">
        <w:trPr>
          <w:trHeight w:val="324"/>
        </w:trPr>
        <w:tc>
          <w:tcPr>
            <w:tcW w:w="3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Tesoura sem ponta (unidade)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R$ 3,60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R$ 10,29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R$ 6,69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R$ 6,26</w:t>
            </w:r>
          </w:p>
        </w:tc>
      </w:tr>
    </w:tbl>
    <w:p w:rsidR="009E483B" w:rsidRDefault="0073150F">
      <w:r>
        <w:t xml:space="preserve">     </w:t>
      </w:r>
    </w:p>
    <w:p w:rsidR="009E483B" w:rsidRDefault="009E483B"/>
    <w:p w:rsidR="009E483B" w:rsidRDefault="0073150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Fonte: PROCON Municipal de Campina Grande-PB.</w:t>
      </w:r>
    </w:p>
    <w:p w:rsidR="009E483B" w:rsidRDefault="009E483B">
      <w:pPr>
        <w:ind w:firstLine="708"/>
        <w:jc w:val="both"/>
        <w:rPr>
          <w:rFonts w:ascii="Arial" w:eastAsia="Arial" w:hAnsi="Arial" w:cs="Arial"/>
        </w:rPr>
      </w:pPr>
    </w:p>
    <w:p w:rsidR="009E483B" w:rsidRDefault="009E483B">
      <w:pPr>
        <w:ind w:firstLine="708"/>
        <w:jc w:val="both"/>
        <w:rPr>
          <w:rFonts w:ascii="Arial" w:eastAsia="Arial" w:hAnsi="Arial" w:cs="Arial"/>
        </w:rPr>
      </w:pPr>
    </w:p>
    <w:p w:rsidR="009E483B" w:rsidRDefault="0073150F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consumidor pode economizar bastante caso esteja disposto a percorrer o centro de Campina Grande, visto que os estabelecimentos amostrados ficam </w:t>
      </w:r>
      <w:r>
        <w:rPr>
          <w:rFonts w:ascii="Verdana" w:eastAsia="Verdana" w:hAnsi="Verdana" w:cs="Verdana"/>
        </w:rPr>
        <w:t>maioria</w:t>
      </w:r>
      <w:r>
        <w:rPr>
          <w:rFonts w:ascii="Verdana" w:eastAsia="Verdana" w:hAnsi="Verdana" w:cs="Verdana"/>
        </w:rPr>
        <w:t xml:space="preserve"> nesta localidade. Apesar de ficarem na mesma região, h</w:t>
      </w:r>
      <w:r>
        <w:rPr>
          <w:rFonts w:ascii="Verdana" w:eastAsia="Verdana" w:hAnsi="Verdana" w:cs="Verdana"/>
        </w:rPr>
        <w:t xml:space="preserve">á indícios de </w:t>
      </w:r>
      <w:r>
        <w:rPr>
          <w:rFonts w:ascii="Verdana" w:eastAsia="Verdana" w:hAnsi="Verdana" w:cs="Verdana"/>
        </w:rPr>
        <w:lastRenderedPageBreak/>
        <w:t>existir uma grande variação de preços entre as lojas e em diversos produtos, as análises ocorreram com os produtos que tiveram um maior destaque nos preços.</w:t>
      </w:r>
    </w:p>
    <w:p w:rsidR="009E483B" w:rsidRDefault="0073150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i/>
        </w:rPr>
        <w:t>Tabela 3</w:t>
      </w:r>
      <w:r>
        <w:rPr>
          <w:rFonts w:ascii="Arial" w:eastAsia="Arial" w:hAnsi="Arial" w:cs="Arial"/>
        </w:rPr>
        <w:t xml:space="preserve"> constam as informações sobre pastas, lápis, borracha, apontador e caderno</w:t>
      </w:r>
      <w:r>
        <w:rPr>
          <w:rFonts w:ascii="Arial" w:eastAsia="Arial" w:hAnsi="Arial" w:cs="Arial"/>
        </w:rPr>
        <w:t>.</w:t>
      </w:r>
    </w:p>
    <w:p w:rsidR="009E483B" w:rsidRDefault="009E483B">
      <w:pPr>
        <w:ind w:firstLine="708"/>
        <w:jc w:val="both"/>
        <w:rPr>
          <w:rFonts w:ascii="Arial" w:eastAsia="Arial" w:hAnsi="Arial" w:cs="Arial"/>
        </w:rPr>
      </w:pPr>
    </w:p>
    <w:p w:rsidR="009E483B" w:rsidRDefault="0073150F">
      <w:pPr>
        <w:ind w:left="-142" w:hanging="42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Tabela 3: Informações sobre pastas, lápis, borracha, apontador e caderno.</w:t>
      </w:r>
    </w:p>
    <w:tbl>
      <w:tblPr>
        <w:tblStyle w:val="a2"/>
        <w:tblW w:w="1034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25"/>
        <w:gridCol w:w="1020"/>
        <w:gridCol w:w="1211"/>
        <w:gridCol w:w="1301"/>
        <w:gridCol w:w="922"/>
      </w:tblGrid>
      <w:tr w:rsidR="009E483B">
        <w:trPr>
          <w:trHeight w:val="252"/>
        </w:trPr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Material</w:t>
            </w:r>
          </w:p>
        </w:tc>
        <w:tc>
          <w:tcPr>
            <w:tcW w:w="15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Marca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Menor Preço</w:t>
            </w:r>
          </w:p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R$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Maior Preço</w:t>
            </w:r>
          </w:p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R$</w:t>
            </w:r>
          </w:p>
        </w:tc>
        <w:tc>
          <w:tcPr>
            <w:tcW w:w="13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Economia</w:t>
            </w:r>
          </w:p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R$</w:t>
            </w:r>
          </w:p>
        </w:tc>
        <w:tc>
          <w:tcPr>
            <w:tcW w:w="9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Preço</w:t>
            </w:r>
          </w:p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Médio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Caneta esferográfica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BIC</w:t>
            </w: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R$ 1,00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R$ 7,99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R$ 6,99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R$ 2,45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Caneta esferográfica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</w:rPr>
              <w:t>Compactor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R$ 0,70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R$ 1,50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R$ 0,80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R$ 1,08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Caneta esferográfica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Faber </w:t>
            </w:r>
            <w:proofErr w:type="spellStart"/>
            <w:r>
              <w:rPr>
                <w:rFonts w:ascii="Verdana" w:eastAsia="Verdana" w:hAnsi="Verdana" w:cs="Verdana"/>
              </w:rPr>
              <w:t>Castell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R$ 1,20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R$ 1,90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R$ 0,70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R$ 1,48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Lápis grafite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R$ 0,30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R$ 3,79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R$ 3,49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R$ 1,17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Borracha pequena unid.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</w:rPr>
              <w:t>Mercur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R$ 0,40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R$ 5,99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R$ 5,59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R$ 2,48</w:t>
            </w:r>
          </w:p>
        </w:tc>
      </w:tr>
      <w:tr w:rsidR="009E483B">
        <w:trPr>
          <w:trHeight w:val="14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Apontador unid. Com Depósito </w:t>
            </w:r>
            <w:proofErr w:type="spellStart"/>
            <w:r>
              <w:rPr>
                <w:rFonts w:ascii="Verdana" w:eastAsia="Verdana" w:hAnsi="Verdana" w:cs="Verdana"/>
              </w:rPr>
              <w:t>Glitz</w:t>
            </w:r>
            <w:proofErr w:type="spellEnd"/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Faber </w:t>
            </w:r>
            <w:proofErr w:type="spellStart"/>
            <w:r>
              <w:rPr>
                <w:rFonts w:ascii="Verdana" w:eastAsia="Verdana" w:hAnsi="Verdana" w:cs="Verdana"/>
              </w:rPr>
              <w:t>Castell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R$ 4,10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R$ 6,99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R$ 2,89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R$ 5,66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Apontador unid. Com Depósito Jumbo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Faber </w:t>
            </w:r>
            <w:proofErr w:type="spellStart"/>
            <w:r>
              <w:rPr>
                <w:rFonts w:ascii="Verdana" w:eastAsia="Verdana" w:hAnsi="Verdana" w:cs="Verdana"/>
              </w:rPr>
              <w:t>Castell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R$ 4,80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R$ 4,80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R$ 0,00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R$ 4,80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Apontador unid. Com Depósito Neon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Faber </w:t>
            </w:r>
            <w:proofErr w:type="spellStart"/>
            <w:r>
              <w:rPr>
                <w:rFonts w:ascii="Verdana" w:eastAsia="Verdana" w:hAnsi="Verdana" w:cs="Verdana"/>
              </w:rPr>
              <w:t>Castell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R$ 1,50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R$ 5,90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R$ 4,40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R$ 3,94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Régua de 30 cm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R$ 0,85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R$ 4,49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R$ 3,64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R$ 2,61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Caderno pautado pequeno 96 folhas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</w:rPr>
              <w:t>Foroni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R$ 3,00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R$ 3,00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R$ 0,00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R$ 3,00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Caderno pautado pequeno 96 folhas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Tilibra</w:t>
            </w: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R$ 2,69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R$ 2,69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R$ 0,00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R$ 2,69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Caderno 12 matérias capa dura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</w:rPr>
              <w:t>Foroni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R$ 19,98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R$ 41,50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R$ 21,52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R$ 29,69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Caderno 12 matérias capa dura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</w:rPr>
              <w:t>Jandai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R$ 14,98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R$ 54,90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R$ 39,92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R$ 34,94</w:t>
            </w:r>
          </w:p>
        </w:tc>
      </w:tr>
      <w:tr w:rsidR="009E483B">
        <w:trPr>
          <w:trHeight w:val="252"/>
        </w:trPr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Caderno 12 matérias capa dura (unidade)</w:t>
            </w:r>
          </w:p>
        </w:tc>
        <w:tc>
          <w:tcPr>
            <w:tcW w:w="15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Tilibra</w:t>
            </w: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R$ 12,98</w:t>
            </w:r>
          </w:p>
        </w:tc>
        <w:tc>
          <w:tcPr>
            <w:tcW w:w="12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R$ 28,50</w:t>
            </w:r>
          </w:p>
        </w:tc>
        <w:tc>
          <w:tcPr>
            <w:tcW w:w="13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R$ 15,52</w:t>
            </w: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R$ 18,59</w:t>
            </w:r>
          </w:p>
        </w:tc>
      </w:tr>
    </w:tbl>
    <w:p w:rsidR="009E483B" w:rsidRDefault="0073150F">
      <w:pPr>
        <w:ind w:left="-142" w:hanging="283"/>
        <w:rPr>
          <w:rFonts w:ascii="Verdana" w:eastAsia="Verdana" w:hAnsi="Verdana" w:cs="Verdana"/>
          <w:sz w:val="20"/>
          <w:szCs w:val="20"/>
        </w:rPr>
        <w:sectPr w:rsidR="009E483B">
          <w:footerReference w:type="default" r:id="rId16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  <w:r>
        <w:rPr>
          <w:rFonts w:ascii="Verdana" w:eastAsia="Verdana" w:hAnsi="Verdana" w:cs="Verdana"/>
          <w:i/>
          <w:sz w:val="20"/>
          <w:szCs w:val="20"/>
        </w:rPr>
        <w:t xml:space="preserve">     Fonte: PROCON Municipal de Campina Grande-PB.</w:t>
      </w:r>
    </w:p>
    <w:p w:rsidR="009E483B" w:rsidRDefault="009E483B">
      <w:pPr>
        <w:ind w:left="-142" w:hanging="283"/>
        <w:rPr>
          <w:rFonts w:ascii="Verdana" w:eastAsia="Verdana" w:hAnsi="Verdana" w:cs="Verdana"/>
          <w:sz w:val="20"/>
          <w:szCs w:val="20"/>
        </w:rPr>
      </w:pPr>
    </w:p>
    <w:p w:rsidR="009E483B" w:rsidRDefault="009E483B">
      <w:pPr>
        <w:spacing w:line="360" w:lineRule="auto"/>
        <w:ind w:firstLine="708"/>
        <w:jc w:val="both"/>
        <w:rPr>
          <w:rFonts w:ascii="Verdana" w:eastAsia="Verdana" w:hAnsi="Verdana" w:cs="Verdana"/>
        </w:rPr>
      </w:pPr>
    </w:p>
    <w:p w:rsidR="009E483B" w:rsidRDefault="009E483B">
      <w:pPr>
        <w:spacing w:line="360" w:lineRule="auto"/>
        <w:ind w:hanging="567"/>
        <w:jc w:val="both"/>
        <w:rPr>
          <w:rFonts w:ascii="Verdana" w:eastAsia="Verdana" w:hAnsi="Verdana" w:cs="Verdana"/>
          <w:color w:val="1F497D"/>
        </w:rPr>
      </w:pP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b/>
          <w:color w:val="1F497D"/>
        </w:rPr>
        <w:t>3. Relação geral dos materiais pesquisados</w:t>
      </w:r>
    </w:p>
    <w:p w:rsidR="009E483B" w:rsidRDefault="009E483B">
      <w:pPr>
        <w:spacing w:line="360" w:lineRule="auto"/>
        <w:jc w:val="both"/>
        <w:rPr>
          <w:rFonts w:ascii="Verdana" w:eastAsia="Verdana" w:hAnsi="Verdana" w:cs="Verdana"/>
          <w:color w:val="1F497D"/>
          <w:sz w:val="16"/>
          <w:szCs w:val="16"/>
        </w:rPr>
      </w:pPr>
    </w:p>
    <w:tbl>
      <w:tblPr>
        <w:tblStyle w:val="a3"/>
        <w:tblW w:w="15419" w:type="dxa"/>
        <w:tblInd w:w="-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5"/>
        <w:gridCol w:w="1154"/>
        <w:gridCol w:w="1248"/>
        <w:gridCol w:w="810"/>
        <w:gridCol w:w="1010"/>
        <w:gridCol w:w="1229"/>
        <w:gridCol w:w="1410"/>
        <w:gridCol w:w="1477"/>
        <w:gridCol w:w="1705"/>
        <w:gridCol w:w="1381"/>
      </w:tblGrid>
      <w:tr w:rsidR="009E483B">
        <w:trPr>
          <w:trHeight w:val="720"/>
        </w:trPr>
        <w:tc>
          <w:tcPr>
            <w:tcW w:w="3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Produto</w:t>
            </w:r>
          </w:p>
        </w:tc>
        <w:tc>
          <w:tcPr>
            <w:tcW w:w="115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Marca</w:t>
            </w:r>
          </w:p>
        </w:tc>
        <w:tc>
          <w:tcPr>
            <w:tcW w:w="124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Livraia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Leitura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</w:rPr>
              <w:t>lê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</w:rPr>
              <w:t xml:space="preserve"> biscuit</w:t>
            </w:r>
          </w:p>
        </w:tc>
        <w:tc>
          <w:tcPr>
            <w:tcW w:w="10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</w:rPr>
              <w:t>americanas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Brasil atacado</w:t>
            </w:r>
          </w:p>
        </w:tc>
        <w:tc>
          <w:tcPr>
            <w:tcW w:w="1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Casa do Colegial</w:t>
            </w:r>
          </w:p>
        </w:tc>
        <w:tc>
          <w:tcPr>
            <w:tcW w:w="14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Lojão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do Colegial</w:t>
            </w: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Papelaria Compasso</w:t>
            </w:r>
          </w:p>
        </w:tc>
        <w:tc>
          <w:tcPr>
            <w:tcW w:w="138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Papelaria Rocha</w:t>
            </w:r>
          </w:p>
        </w:tc>
      </w:tr>
      <w:tr w:rsidR="009E483B">
        <w:trPr>
          <w:trHeight w:val="317"/>
        </w:trPr>
        <w:tc>
          <w:tcPr>
            <w:tcW w:w="3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153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24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01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22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41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38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Apontador </w:t>
            </w:r>
            <w:proofErr w:type="spellStart"/>
            <w:r>
              <w:rPr>
                <w:rFonts w:ascii="Arial" w:eastAsia="Arial" w:hAnsi="Arial" w:cs="Arial"/>
              </w:rPr>
              <w:t>unid</w:t>
            </w:r>
            <w:proofErr w:type="spellEnd"/>
            <w:r>
              <w:rPr>
                <w:rFonts w:ascii="Arial" w:eastAsia="Arial" w:hAnsi="Arial" w:cs="Arial"/>
              </w:rPr>
              <w:t xml:space="preserve">, Com Depósito </w:t>
            </w:r>
            <w:proofErr w:type="spellStart"/>
            <w:r>
              <w:rPr>
                <w:rFonts w:ascii="Arial" w:eastAsia="Arial" w:hAnsi="Arial" w:cs="Arial"/>
              </w:rPr>
              <w:t>Glitz</w:t>
            </w:r>
            <w:proofErr w:type="spellEnd"/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Faber </w:t>
            </w:r>
            <w:proofErr w:type="spellStart"/>
            <w:r>
              <w:rPr>
                <w:rFonts w:ascii="Arial" w:eastAsia="Arial" w:hAnsi="Arial" w:cs="Arial"/>
              </w:rPr>
              <w:t>Castell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R$ 6,99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R$ 4,10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Apontador </w:t>
            </w:r>
            <w:proofErr w:type="spellStart"/>
            <w:r>
              <w:rPr>
                <w:rFonts w:ascii="Arial" w:eastAsia="Arial" w:hAnsi="Arial" w:cs="Arial"/>
              </w:rPr>
              <w:t>unid</w:t>
            </w:r>
            <w:proofErr w:type="spellEnd"/>
            <w:r>
              <w:rPr>
                <w:rFonts w:ascii="Arial" w:eastAsia="Arial" w:hAnsi="Arial" w:cs="Arial"/>
              </w:rPr>
              <w:t xml:space="preserve">, Com Depósito </w:t>
            </w:r>
            <w:proofErr w:type="spellStart"/>
            <w:r>
              <w:rPr>
                <w:rFonts w:ascii="Arial" w:eastAsia="Arial" w:hAnsi="Arial" w:cs="Arial"/>
              </w:rPr>
              <w:t>clickbox</w:t>
            </w:r>
            <w:proofErr w:type="spellEnd"/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Faber </w:t>
            </w:r>
            <w:proofErr w:type="spellStart"/>
            <w:r>
              <w:rPr>
                <w:rFonts w:ascii="Arial" w:eastAsia="Arial" w:hAnsi="Arial" w:cs="Arial"/>
              </w:rPr>
              <w:t>Castell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R$ 4,80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Apontador </w:t>
            </w:r>
            <w:proofErr w:type="spellStart"/>
            <w:r>
              <w:rPr>
                <w:rFonts w:ascii="Arial" w:eastAsia="Arial" w:hAnsi="Arial" w:cs="Arial"/>
              </w:rPr>
              <w:t>unid</w:t>
            </w:r>
            <w:proofErr w:type="spellEnd"/>
            <w:r>
              <w:rPr>
                <w:rFonts w:ascii="Arial" w:eastAsia="Arial" w:hAnsi="Arial" w:cs="Arial"/>
              </w:rPr>
              <w:t>, Com Depósito Neon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Faber </w:t>
            </w:r>
            <w:proofErr w:type="spellStart"/>
            <w:r>
              <w:rPr>
                <w:rFonts w:ascii="Arial" w:eastAsia="Arial" w:hAnsi="Arial" w:cs="Arial"/>
              </w:rPr>
              <w:t>Castell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R$ 3,99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R$ 4,35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R$ 1,50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Borracha pequena </w:t>
            </w:r>
            <w:proofErr w:type="spellStart"/>
            <w:r>
              <w:rPr>
                <w:rFonts w:ascii="Arial" w:eastAsia="Arial" w:hAnsi="Arial" w:cs="Arial"/>
              </w:rPr>
              <w:t>unid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Mercur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R$ 5,99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R$ 3,49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R$ 1,00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R$ 0,40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R$ 0,70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R$ 0,90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Caderno pautado pequeno 96 folhas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Foroni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R$ 3,00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Caderno pautado pequeno 96 folhas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Tilibra</w:t>
            </w: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R$ 2,69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Caderno 12 matérias capa dura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Foroni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R$ 19,98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R$ 27,59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R$ 41,50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Caderno 12 matérias capa dura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Jandai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R$ 54,90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R$ 14,98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Caderno 12 matérias capa dura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Tilibra</w:t>
            </w: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R$ 12,98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R$ 14,99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R$ 17,90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R$ 28,50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Caneta esferográfica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BIC</w:t>
            </w: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R$ 7,99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R$ 1,00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R$ 1,00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R$ 1,30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lastRenderedPageBreak/>
              <w:t>Caneta esferográfica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Compacto</w:t>
            </w: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R$ 1,50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R$ 1,00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R$ 0,70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R$ 1,00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R$ 1,20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Caneta esferográfica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Faber </w:t>
            </w:r>
            <w:proofErr w:type="spellStart"/>
            <w:r>
              <w:rPr>
                <w:rFonts w:ascii="Arial" w:eastAsia="Arial" w:hAnsi="Arial" w:cs="Arial"/>
              </w:rPr>
              <w:t>Castell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R$ 1,30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R$ 1,20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Giz de cera grosso (</w:t>
            </w:r>
            <w:proofErr w:type="spellStart"/>
            <w:r>
              <w:rPr>
                <w:rFonts w:ascii="Arial" w:eastAsia="Arial" w:hAnsi="Arial" w:cs="Arial"/>
              </w:rPr>
              <w:t>cx</w:t>
            </w:r>
            <w:proofErr w:type="spellEnd"/>
            <w:r>
              <w:rPr>
                <w:rFonts w:ascii="Arial" w:eastAsia="Arial" w:hAnsi="Arial" w:cs="Arial"/>
              </w:rPr>
              <w:t>, 12 unidades)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R$ 8,90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R$ 5,99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R$ 5,39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R$ 6,85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R$ 6,00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R$ 6,60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Lápis de cor grande (</w:t>
            </w:r>
            <w:proofErr w:type="spellStart"/>
            <w:r>
              <w:rPr>
                <w:rFonts w:ascii="Arial" w:eastAsia="Arial" w:hAnsi="Arial" w:cs="Arial"/>
              </w:rPr>
              <w:t>cx</w:t>
            </w:r>
            <w:proofErr w:type="spellEnd"/>
            <w:r>
              <w:rPr>
                <w:rFonts w:ascii="Arial" w:eastAsia="Arial" w:hAnsi="Arial" w:cs="Arial"/>
              </w:rPr>
              <w:t>, 12 unidades)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Faber </w:t>
            </w:r>
            <w:proofErr w:type="spellStart"/>
            <w:r>
              <w:rPr>
                <w:rFonts w:ascii="Arial" w:eastAsia="Arial" w:hAnsi="Arial" w:cs="Arial"/>
              </w:rPr>
              <w:t>Castell</w:t>
            </w:r>
            <w:proofErr w:type="spellEnd"/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R$ 12,90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R$ 24,99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R$ 21,99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R$ 12,99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R$ 7,50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R$ 29,95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R$ 14,50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Lápis de cor grande (</w:t>
            </w:r>
            <w:proofErr w:type="spellStart"/>
            <w:r>
              <w:rPr>
                <w:rFonts w:ascii="Arial" w:eastAsia="Arial" w:hAnsi="Arial" w:cs="Arial"/>
              </w:rPr>
              <w:t>cx</w:t>
            </w:r>
            <w:proofErr w:type="spellEnd"/>
            <w:r>
              <w:rPr>
                <w:rFonts w:ascii="Arial" w:eastAsia="Arial" w:hAnsi="Arial" w:cs="Arial"/>
              </w:rPr>
              <w:t>, 12 unidades)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Multicolor</w:t>
            </w: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R$ 5,99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R$ 4,79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R$ 9,50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Lápis grafite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R$ 1,00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R$ 3,79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R$ 1,00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R$ 0,45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R$ 0,50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R$ 0,30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Papel ofício A4 (01 resma)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Copimax</w:t>
            </w: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R$ 24,90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R$ 23,99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R$ 24,99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R$ 20,99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R$ 26,00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R$ 26,80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R$ 22,00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R$ 24,90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Pincel nº 16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R$ 9,90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R$ 2,99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R$ 6,45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Pincel nº 18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R$ 7,90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R$ 4,49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R$ 6,00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R$ 5,75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R$ 2,00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Pincel nº 20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R$ 13,90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R$ 4,99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R$ 8,00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R$ 6,95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Régua de 30 cm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9E483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R$ 2,90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R$ 3,99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R$ 4,49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R$ 0,85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R$ 1,30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R$ 1,25</w:t>
            </w:r>
          </w:p>
        </w:tc>
      </w:tr>
      <w:tr w:rsidR="009E483B">
        <w:trPr>
          <w:trHeight w:val="360"/>
        </w:trPr>
        <w:tc>
          <w:tcPr>
            <w:tcW w:w="3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Tesoura sem ponta (unidade)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Tris</w:t>
            </w:r>
          </w:p>
        </w:tc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0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R$ 10,29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R$ 9,50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R$ 3,60</w:t>
            </w:r>
          </w:p>
        </w:tc>
        <w:tc>
          <w:tcPr>
            <w:tcW w:w="17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R$ 3,60</w:t>
            </w: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83B" w:rsidRDefault="007315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R$ 4,30</w:t>
            </w:r>
          </w:p>
        </w:tc>
      </w:tr>
    </w:tbl>
    <w:p w:rsidR="009E483B" w:rsidRDefault="009E483B">
      <w:pPr>
        <w:spacing w:line="360" w:lineRule="auto"/>
        <w:jc w:val="both"/>
        <w:rPr>
          <w:rFonts w:ascii="Verdana" w:eastAsia="Verdana" w:hAnsi="Verdana" w:cs="Verdana"/>
          <w:color w:val="1F497D"/>
          <w:sz w:val="16"/>
          <w:szCs w:val="16"/>
        </w:rPr>
        <w:sectPr w:rsidR="009E483B">
          <w:pgSz w:w="16838" w:h="11906" w:orient="landscape"/>
          <w:pgMar w:top="1134" w:right="1134" w:bottom="1134" w:left="284" w:header="720" w:footer="720" w:gutter="0"/>
          <w:cols w:space="720"/>
          <w:titlePg/>
        </w:sectPr>
      </w:pP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b/>
          <w:color w:val="1F497D"/>
        </w:rPr>
        <w:lastRenderedPageBreak/>
        <w:t>4. Dicas e Orientações</w:t>
      </w:r>
    </w:p>
    <w:p w:rsidR="009E483B" w:rsidRDefault="009E483B">
      <w:pPr>
        <w:spacing w:line="360" w:lineRule="auto"/>
        <w:jc w:val="both"/>
        <w:rPr>
          <w:rFonts w:ascii="Verdana" w:eastAsia="Verdana" w:hAnsi="Verdana" w:cs="Verdana"/>
        </w:rPr>
      </w:pPr>
    </w:p>
    <w:p w:rsidR="009E483B" w:rsidRDefault="0073150F">
      <w:pPr>
        <w:numPr>
          <w:ilvl w:val="0"/>
          <w:numId w:val="2"/>
        </w:numPr>
        <w:spacing w:line="360" w:lineRule="auto"/>
        <w:ind w:hanging="720"/>
        <w:jc w:val="both"/>
        <w:rPr>
          <w:rFonts w:ascii="Verdana" w:eastAsia="Verdana" w:hAnsi="Verdana" w:cs="Verdana"/>
          <w:color w:val="1F497D"/>
          <w:sz w:val="22"/>
          <w:szCs w:val="22"/>
        </w:rPr>
      </w:pPr>
      <w:r>
        <w:rPr>
          <w:rFonts w:ascii="Verdana" w:eastAsia="Verdana" w:hAnsi="Verdana" w:cs="Verdana"/>
          <w:b/>
          <w:color w:val="1F497D"/>
          <w:sz w:val="22"/>
          <w:szCs w:val="22"/>
        </w:rPr>
        <w:t>O QUE A ESCOLA PODE SOLICITAR NA LISTA DE MATERIAL ESCOLAR?</w:t>
      </w: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Apenas os materiais utilizados para as atividades pedagógicas diárias do aluno, em quantidade coerente com as atividades praticadas pela mesma, sem restrição de marca. Em Campina Grande a Lei Municipal 6556/2017 proíbe as escolas da Rede Privada de Ensino </w:t>
      </w:r>
      <w:r>
        <w:rPr>
          <w:rFonts w:ascii="Verdana" w:eastAsia="Verdana" w:hAnsi="Verdana" w:cs="Verdana"/>
        </w:rPr>
        <w:t>de cobrarem dos pais e/ou responsáveis no ato da matrícula os seguintes materiais:</w:t>
      </w:r>
    </w:p>
    <w:p w:rsidR="009E483B" w:rsidRDefault="009E483B">
      <w:pPr>
        <w:spacing w:line="360" w:lineRule="auto"/>
        <w:jc w:val="both"/>
        <w:rPr>
          <w:rFonts w:ascii="Verdana" w:eastAsia="Verdana" w:hAnsi="Verdana" w:cs="Verdana"/>
        </w:rPr>
      </w:pPr>
    </w:p>
    <w:tbl>
      <w:tblPr>
        <w:tblStyle w:val="a4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9E483B">
        <w:tc>
          <w:tcPr>
            <w:tcW w:w="4361" w:type="dxa"/>
          </w:tcPr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Álcool;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Algodão;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Argila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Balde de praia;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Balões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Bolas de sopro;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Caneta para lousa;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Canudinho;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Carimbo;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Cartolina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Cola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Copos descartáveis;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Cordão;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Creme dental;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b/>
              </w:rPr>
              <w:t>Pendrive</w:t>
            </w:r>
            <w:proofErr w:type="spellEnd"/>
            <w:r>
              <w:rPr>
                <w:rFonts w:ascii="Verdana" w:eastAsia="Verdana" w:hAnsi="Verdana" w:cs="Verdana"/>
                <w:b/>
              </w:rPr>
              <w:t>, CD e DVD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</w:rPr>
              <w:t>ou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outros produtos de mídia);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b/>
              </w:rPr>
              <w:t>Elastex</w:t>
            </w:r>
            <w:proofErr w:type="spellEnd"/>
            <w:r>
              <w:rPr>
                <w:rFonts w:ascii="Verdana" w:eastAsia="Verdana" w:hAnsi="Verdana" w:cs="Verdana"/>
                <w:b/>
              </w:rPr>
              <w:t>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Envelopes;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Esponja para pratos;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Estêncil a álcool e óleo;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Fantoche;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Feltro;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 dupla face;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 durex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 para impressora;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Fitas decorativas;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Fitilhos;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Flanelas;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Garrafa para água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Gibi infantil;</w:t>
            </w:r>
          </w:p>
          <w:p w:rsidR="009E483B" w:rsidRDefault="0073150F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Giz branco e colorido;</w:t>
            </w:r>
          </w:p>
        </w:tc>
        <w:tc>
          <w:tcPr>
            <w:tcW w:w="5812" w:type="dxa"/>
          </w:tcPr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b/>
              </w:rPr>
              <w:t>Glitter</w:t>
            </w:r>
            <w:proofErr w:type="spellEnd"/>
            <w:r>
              <w:rPr>
                <w:rFonts w:ascii="Verdana" w:eastAsia="Verdana" w:hAnsi="Verdana" w:cs="Verdana"/>
                <w:b/>
              </w:rPr>
              <w:t>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Grampeador e grampos;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Isopor;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Jogo pedagógico;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Jogos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Lã;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Lenços descartáveis;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Livro de plástico para banho;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Lixa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Maquiagem;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Marcador para retroprojetor;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Massa de modelar;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Material para escritório (sem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uso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individual);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Material de limpeza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Medicamentos;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Palitos de churrasco;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Palito de dente;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</w:t>
            </w:r>
            <w:r>
              <w:rPr>
                <w:rFonts w:ascii="Verdana" w:eastAsia="Verdana" w:hAnsi="Verdana" w:cs="Verdana"/>
                <w:b/>
              </w:rPr>
              <w:t>alito de picolé;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Papel em geral (exceto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quando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solicitado, no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máximo</w:t>
            </w:r>
            <w:proofErr w:type="gramEnd"/>
            <w:r>
              <w:rPr>
                <w:rFonts w:ascii="Verdana" w:eastAsia="Verdana" w:hAnsi="Verdana" w:cs="Verdana"/>
                <w:b/>
              </w:rPr>
              <w:t>, uma resma por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aluno</w:t>
            </w:r>
            <w:proofErr w:type="gramEnd"/>
            <w:r>
              <w:rPr>
                <w:rFonts w:ascii="Verdana" w:eastAsia="Verdana" w:hAnsi="Verdana" w:cs="Verdana"/>
                <w:b/>
              </w:rPr>
              <w:t>);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Papel higiênico;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Papel ofício colorido;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Piloto para quadro branco;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Pincel atômico;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Plástico para classificador;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Pratos descartáveis;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Pregador para roupas;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Sacos plásticos;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Tintas em geral;</w:t>
            </w:r>
          </w:p>
          <w:p w:rsidR="009E483B" w:rsidRDefault="0073150F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</w:t>
            </w:r>
            <w:proofErr w:type="spellStart"/>
            <w:r>
              <w:rPr>
                <w:rFonts w:ascii="Verdana" w:eastAsia="Verdana" w:hAnsi="Verdana" w:cs="Verdana"/>
                <w:b/>
              </w:rPr>
              <w:t>Tonner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para impressora.</w:t>
            </w:r>
          </w:p>
        </w:tc>
      </w:tr>
    </w:tbl>
    <w:p w:rsidR="009E483B" w:rsidRDefault="0073150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escola também não pode exigir que os pais ou responsáveis comprem o material no próprio estabelecimento, não pode determinar marcas e locais de </w:t>
      </w:r>
      <w:r>
        <w:rPr>
          <w:rFonts w:ascii="Verdana" w:eastAsia="Verdana" w:hAnsi="Verdana" w:cs="Verdana"/>
        </w:rPr>
        <w:lastRenderedPageBreak/>
        <w:t>compra, bem como não p</w:t>
      </w:r>
      <w:r>
        <w:rPr>
          <w:rFonts w:ascii="Verdana" w:eastAsia="Verdana" w:hAnsi="Verdana" w:cs="Verdana"/>
        </w:rPr>
        <w:t>ode cobrar taxa de material escolar sem apresentar a lista, pois tais atos configuram prática abusiva.</w:t>
      </w: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101600</wp:posOffset>
                </wp:positionV>
                <wp:extent cx="6268720" cy="135382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483B" w:rsidRDefault="0073150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</w:rPr>
                              <w:t>Lembrete</w:t>
                            </w:r>
                          </w:p>
                          <w:p w:rsidR="009E483B" w:rsidRDefault="0073150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70C0"/>
                              </w:rPr>
                              <w:t>Se os materiais escolares adquiridos apresentarem defeito, inclusive os importados, o consumidor tem os seus direitos resguardados pelo Código de Defesa do Consumidor. Os prazos para reclamar são: 30 dias para produtos não duráveis e 90 dias para os duráve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70C0"/>
                              </w:rPr>
                              <w:t>is (no caso de vício de fácil constatação).</w:t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-12697</wp:posOffset>
                </wp:positionH>
                <wp:positionV relativeFrom="paragraph">
                  <wp:posOffset>101600</wp:posOffset>
                </wp:positionV>
                <wp:extent cx="6268720" cy="13538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720" cy="1353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/>
    <w:p w:rsidR="009E483B" w:rsidRDefault="009E483B"/>
    <w:p w:rsidR="009E483B" w:rsidRDefault="009E483B"/>
    <w:p w:rsidR="009E483B" w:rsidRDefault="009E483B"/>
    <w:p w:rsidR="009E483B" w:rsidRDefault="0073150F">
      <w:pPr>
        <w:numPr>
          <w:ilvl w:val="0"/>
          <w:numId w:val="2"/>
        </w:numPr>
        <w:spacing w:line="360" w:lineRule="auto"/>
        <w:ind w:hanging="720"/>
        <w:jc w:val="both"/>
        <w:rPr>
          <w:rFonts w:ascii="Verdana" w:eastAsia="Verdana" w:hAnsi="Verdana" w:cs="Verdana"/>
          <w:color w:val="1F497D"/>
          <w:sz w:val="22"/>
          <w:szCs w:val="22"/>
        </w:rPr>
      </w:pPr>
      <w:r>
        <w:rPr>
          <w:rFonts w:ascii="Verdana" w:eastAsia="Verdana" w:hAnsi="Verdana" w:cs="Verdana"/>
          <w:b/>
          <w:color w:val="1F497D"/>
          <w:sz w:val="22"/>
          <w:szCs w:val="22"/>
        </w:rPr>
        <w:t>CONSUMO CONSCIENTE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Compre somente o necessário;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Verifique os materiais que sobraram do ano passado e a possibilidade de reaproveitá-los. Cadernos em branco, lápis, apontador, por exemplo, são itens que podem ser reutilizados.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Caso opte pelos novos, doe os materiais em bom estado;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Verifique se a escola</w:t>
      </w:r>
      <w:r>
        <w:rPr>
          <w:rFonts w:ascii="Verdana" w:eastAsia="Verdana" w:hAnsi="Verdana" w:cs="Verdana"/>
        </w:rPr>
        <w:t xml:space="preserve"> dos seus filhos reaproveita os livros dos alunos do ano anterior;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Procure livros didáticos em lojas de livros usados ou sebos online, mas atenção, antes de realizar as compras, especialmente nas lojas virtuais, consulte o site do PROCON </w:t>
      </w:r>
      <w:hyperlink r:id="rId18">
        <w:r>
          <w:rPr>
            <w:rFonts w:ascii="Verdana" w:eastAsia="Verdana" w:hAnsi="Verdana" w:cs="Verdana"/>
            <w:color w:val="000080"/>
            <w:u w:val="single"/>
          </w:rPr>
          <w:t>https://procon.campinagrande.pb.gov.br/</w:t>
        </w:r>
      </w:hyperlink>
      <w:r>
        <w:rPr>
          <w:rFonts w:ascii="Verdana" w:eastAsia="Verdana" w:hAnsi="Verdana" w:cs="Verdana"/>
        </w:rPr>
        <w:t xml:space="preserve"> para averiguar se há reclamações contra a empresa;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Recicle os materiais que não serão mais utilizados;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Se quiser economizar, evite comprar materiais com logotipos, personage</w:t>
      </w:r>
      <w:r>
        <w:rPr>
          <w:rFonts w:ascii="Verdana" w:eastAsia="Verdana" w:hAnsi="Verdana" w:cs="Verdana"/>
        </w:rPr>
        <w:t xml:space="preserve">ns ou acessórios licenciados;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Observe a validade dos produtos, tais como cola, tintas, corretivos, entre outros;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Observe, também, as informações das embalagens tais como, dados do fabricante e importador, composição, peso, preço, prazo de validade, infor</w:t>
      </w:r>
      <w:r>
        <w:rPr>
          <w:rFonts w:ascii="Verdana" w:eastAsia="Verdana" w:hAnsi="Verdana" w:cs="Verdana"/>
        </w:rPr>
        <w:t xml:space="preserve">mações sobre risco que o produto possa apresentar à saúde do seu filho, indicação da idade, entre outras;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Importante: a informação deve estar escrita de forma clara e precisa e em língua portuguesa;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Exija a nota fiscal de compra dos produtos com a descri</w:t>
      </w:r>
      <w:r>
        <w:rPr>
          <w:rFonts w:ascii="Verdana" w:eastAsia="Verdana" w:hAnsi="Verdana" w:cs="Verdana"/>
        </w:rPr>
        <w:t>minação dos itens adquiridos, para que, havendo algum problema, possa identificar os itens comprados facilmente na nota;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Uma boa dica para os consumidores que desejam economizar é reunir um grupo de pais e responsáveis, contatar os fornecedores e tentar ne</w:t>
      </w:r>
      <w:r>
        <w:rPr>
          <w:rFonts w:ascii="Verdana" w:eastAsia="Verdana" w:hAnsi="Verdana" w:cs="Verdana"/>
        </w:rPr>
        <w:t>gociar descontos para as compras coletivas.</w:t>
      </w: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73150F">
      <w:pPr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139700</wp:posOffset>
                </wp:positionV>
                <wp:extent cx="6207125" cy="86169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8616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483B" w:rsidRDefault="0073150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</w:rPr>
                              <w:t xml:space="preserve">O consumidor que tiver qualquer dúvida ou reclamação deve entrar em contato com o Procon de Campina Grande por meio do 151, </w:t>
                            </w:r>
                          </w:p>
                          <w:p w:rsidR="009E483B" w:rsidRDefault="0073150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</w:rPr>
                              <w:t>98185 – 8168 ou pelo aplicativo de celular PROCON CG MÓVEL.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</w:rPr>
                              <w:br/>
                            </w:r>
                          </w:p>
                          <w:p w:rsidR="009E483B" w:rsidRDefault="009E48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-12697</wp:posOffset>
                </wp:positionH>
                <wp:positionV relativeFrom="paragraph">
                  <wp:posOffset>139700</wp:posOffset>
                </wp:positionV>
                <wp:extent cx="6207125" cy="86169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125" cy="861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E483B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0F" w:rsidRDefault="0073150F">
      <w:r>
        <w:separator/>
      </w:r>
    </w:p>
  </w:endnote>
  <w:endnote w:type="continuationSeparator" w:id="0">
    <w:p w:rsidR="0073150F" w:rsidRDefault="0073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3B" w:rsidRDefault="007315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B1F09">
      <w:rPr>
        <w:color w:val="000000"/>
      </w:rPr>
      <w:fldChar w:fldCharType="separate"/>
    </w:r>
    <w:r w:rsidR="005B1F09">
      <w:rPr>
        <w:noProof/>
        <w:color w:val="000000"/>
      </w:rPr>
      <w:t>11</w:t>
    </w:r>
    <w:r>
      <w:rPr>
        <w:color w:val="000000"/>
      </w:rPr>
      <w:fldChar w:fldCharType="end"/>
    </w:r>
  </w:p>
  <w:p w:rsidR="009E483B" w:rsidRDefault="009E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0F" w:rsidRDefault="0073150F">
      <w:r>
        <w:separator/>
      </w:r>
    </w:p>
  </w:footnote>
  <w:footnote w:type="continuationSeparator" w:id="0">
    <w:p w:rsidR="0073150F" w:rsidRDefault="0073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C40ED"/>
    <w:multiLevelType w:val="multilevel"/>
    <w:tmpl w:val="2A205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E995CDA"/>
    <w:multiLevelType w:val="multilevel"/>
    <w:tmpl w:val="9ED6F6A0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D2F61BF"/>
    <w:multiLevelType w:val="multilevel"/>
    <w:tmpl w:val="3BFC8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3B"/>
    <w:rsid w:val="005B1F09"/>
    <w:rsid w:val="0073150F"/>
    <w:rsid w:val="009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522C-1651-4DDF-AEA4-F91169B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to@procon.campinagrande.pb.gov.br" TargetMode="External"/><Relationship Id="rId18" Type="http://schemas.openxmlformats.org/officeDocument/2006/relationships/hyperlink" Target="https://procon.campinagrande.pb.gov.b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17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5.png"/><Relationship Id="rId19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10576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2022-01-07T22:53:00Z</dcterms:created>
  <dcterms:modified xsi:type="dcterms:W3CDTF">2022-01-07T22:53:00Z</dcterms:modified>
</cp:coreProperties>
</file>