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F01ECA" w14:textId="41AE1AFB" w:rsidR="003B0905" w:rsidRPr="00F44E57" w:rsidRDefault="009B5E6C" w:rsidP="006D3128">
      <w:pPr>
        <w:pStyle w:val="SemEspaamento"/>
        <w:ind w:firstLine="709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 w:rsidR="00B4263F">
        <w:rPr>
          <w:rFonts w:ascii="Cambria" w:hAnsi="Cambria"/>
          <w:sz w:val="40"/>
          <w:szCs w:val="40"/>
        </w:rPr>
        <w:t>- Pesquisa de Preço de M</w:t>
      </w:r>
      <w:r>
        <w:rPr>
          <w:rFonts w:ascii="Cambria" w:hAnsi="Cambria"/>
          <w:sz w:val="40"/>
          <w:szCs w:val="40"/>
        </w:rPr>
        <w:t xml:space="preserve">edicamentos </w:t>
      </w:r>
    </w:p>
    <w:p w14:paraId="34D9F50A" w14:textId="77777777" w:rsidR="003B0905" w:rsidRPr="00F44E57" w:rsidRDefault="003B0905" w:rsidP="003B0905">
      <w:pPr>
        <w:pStyle w:val="SemEspaamento"/>
        <w:jc w:val="center"/>
        <w:rPr>
          <w:rFonts w:ascii="Cambria" w:hAnsi="Cambria"/>
          <w:sz w:val="40"/>
          <w:szCs w:val="40"/>
        </w:rPr>
      </w:pPr>
    </w:p>
    <w:p w14:paraId="289A4951" w14:textId="77777777" w:rsidR="003B0905" w:rsidRDefault="003B0905" w:rsidP="00241536">
      <w:pPr>
        <w:pStyle w:val="SemEspaamento"/>
      </w:pPr>
    </w:p>
    <w:p w14:paraId="41FB633F" w14:textId="77777777" w:rsidR="003B0905" w:rsidRDefault="003B0905" w:rsidP="00241536">
      <w:pPr>
        <w:pStyle w:val="SemEspaamento"/>
      </w:pPr>
    </w:p>
    <w:p w14:paraId="641B31EA" w14:textId="77777777" w:rsidR="003B0905" w:rsidRDefault="003B0905" w:rsidP="00241536">
      <w:pPr>
        <w:pStyle w:val="SemEspaamento"/>
      </w:pPr>
    </w:p>
    <w:p w14:paraId="0256C989" w14:textId="77777777" w:rsidR="003B0905" w:rsidRDefault="003B0905" w:rsidP="00241536">
      <w:pPr>
        <w:pStyle w:val="SemEspaamento"/>
      </w:pPr>
    </w:p>
    <w:p w14:paraId="567E32FB" w14:textId="77777777" w:rsidR="003B0905" w:rsidRDefault="003B0905" w:rsidP="00241536">
      <w:pPr>
        <w:pStyle w:val="SemEspaamento"/>
      </w:pPr>
    </w:p>
    <w:p w14:paraId="4276B974" w14:textId="77777777" w:rsidR="003B0905" w:rsidRDefault="003B0905" w:rsidP="00241536">
      <w:pPr>
        <w:pStyle w:val="SemEspaamento"/>
      </w:pPr>
    </w:p>
    <w:p w14:paraId="5FB561B1" w14:textId="77777777" w:rsidR="003B0905" w:rsidRDefault="003B0905" w:rsidP="00241536">
      <w:pPr>
        <w:pStyle w:val="SemEspaamento"/>
      </w:pPr>
    </w:p>
    <w:p w14:paraId="4C71B93D" w14:textId="77777777" w:rsidR="003B0905" w:rsidRDefault="003B0905" w:rsidP="00241536">
      <w:pPr>
        <w:pStyle w:val="SemEspaamento"/>
      </w:pP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0B6A9077" w14:textId="77777777" w:rsidR="003B0905" w:rsidRDefault="003B0905" w:rsidP="00241536">
      <w:pPr>
        <w:pStyle w:val="SemEspaamento"/>
      </w:pPr>
    </w:p>
    <w:p w14:paraId="1234E140" w14:textId="77777777" w:rsidR="003B0905" w:rsidRDefault="003B0905" w:rsidP="00241536">
      <w:pPr>
        <w:pStyle w:val="SemEspaamento"/>
      </w:pPr>
    </w:p>
    <w:p w14:paraId="11B21AB0" w14:textId="77777777" w:rsidR="003B0905" w:rsidRDefault="003B0905" w:rsidP="00241536">
      <w:pPr>
        <w:pStyle w:val="SemEspaamento"/>
      </w:pPr>
    </w:p>
    <w:p w14:paraId="78B67B85" w14:textId="77777777" w:rsidR="003B0905" w:rsidRDefault="003B0905" w:rsidP="00241536">
      <w:pPr>
        <w:pStyle w:val="SemEspaamento"/>
      </w:pPr>
    </w:p>
    <w:p w14:paraId="0BAD9641" w14:textId="77777777" w:rsidR="003B0905" w:rsidRDefault="003B0905" w:rsidP="00241536">
      <w:pPr>
        <w:pStyle w:val="SemEspaamento"/>
      </w:pPr>
    </w:p>
    <w:p w14:paraId="1D69F5AF" w14:textId="77777777" w:rsidR="003B0905" w:rsidRDefault="003B0905" w:rsidP="00241536">
      <w:pPr>
        <w:pStyle w:val="SemEspaamento"/>
      </w:pPr>
    </w:p>
    <w:p w14:paraId="05030BA7" w14:textId="77777777" w:rsidR="003B0905" w:rsidRDefault="003B0905" w:rsidP="00241536">
      <w:pPr>
        <w:pStyle w:val="SemEspaamento"/>
      </w:pPr>
    </w:p>
    <w:p w14:paraId="60E2A74F" w14:textId="77777777" w:rsidR="003B0905" w:rsidRDefault="003B0905" w:rsidP="00241536">
      <w:pPr>
        <w:pStyle w:val="SemEspaamento"/>
      </w:pPr>
    </w:p>
    <w:p w14:paraId="723970E4" w14:textId="77777777" w:rsidR="003B0905" w:rsidRDefault="003B0905" w:rsidP="00241536">
      <w:pPr>
        <w:pStyle w:val="SemEspaamento"/>
      </w:pPr>
    </w:p>
    <w:p w14:paraId="20ACC9F3" w14:textId="77777777" w:rsidR="003B0905" w:rsidRDefault="003B0905" w:rsidP="00241536">
      <w:pPr>
        <w:pStyle w:val="SemEspaamento"/>
      </w:pPr>
    </w:p>
    <w:p w14:paraId="1FCC3124" w14:textId="77777777" w:rsidR="003B0905" w:rsidRDefault="003B0905" w:rsidP="00241536">
      <w:pPr>
        <w:pStyle w:val="SemEspaamento"/>
      </w:pPr>
    </w:p>
    <w:p w14:paraId="7785FEF4" w14:textId="77777777" w:rsidR="003B0905" w:rsidRDefault="003B0905" w:rsidP="00241536">
      <w:pPr>
        <w:pStyle w:val="SemEspaamento"/>
      </w:pPr>
    </w:p>
    <w:p w14:paraId="6A92BE6A" w14:textId="77777777" w:rsidR="003B0905" w:rsidRDefault="003B0905" w:rsidP="00241536">
      <w:pPr>
        <w:pStyle w:val="SemEspaamento"/>
      </w:pPr>
    </w:p>
    <w:p w14:paraId="1A9FD861" w14:textId="77777777" w:rsidR="003B0905" w:rsidRDefault="003B0905" w:rsidP="00241536">
      <w:pPr>
        <w:pStyle w:val="SemEspaamento"/>
      </w:pPr>
    </w:p>
    <w:p w14:paraId="013CBBFC" w14:textId="77777777" w:rsidR="003B0905" w:rsidRDefault="003B0905" w:rsidP="00241536">
      <w:pPr>
        <w:pStyle w:val="SemEspaamento"/>
      </w:pPr>
    </w:p>
    <w:p w14:paraId="1204759C" w14:textId="77777777" w:rsidR="003B0905" w:rsidRDefault="003B0905" w:rsidP="00241536">
      <w:pPr>
        <w:pStyle w:val="SemEspaamento"/>
      </w:pPr>
    </w:p>
    <w:p w14:paraId="5020AAF4" w14:textId="77777777" w:rsidR="003B0905" w:rsidRDefault="003B0905" w:rsidP="00241536">
      <w:pPr>
        <w:pStyle w:val="SemEspaamento"/>
      </w:pPr>
    </w:p>
    <w:p w14:paraId="104B2A59" w14:textId="77777777" w:rsidR="003B0905" w:rsidRDefault="003B0905" w:rsidP="00241536">
      <w:pPr>
        <w:pStyle w:val="SemEspaamento"/>
      </w:pPr>
    </w:p>
    <w:p w14:paraId="2EA45014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2905D15B" w14:textId="7F22AD1F" w:rsidR="009B5E6C" w:rsidRDefault="00442DF5" w:rsidP="009B5E6C">
      <w:pPr>
        <w:pStyle w:val="SemEspaamento"/>
        <w:jc w:val="center"/>
      </w:pPr>
      <w:r>
        <w:t>Junho</w:t>
      </w:r>
      <w:r w:rsidR="00C74D97">
        <w:t xml:space="preserve"> - 2021</w:t>
      </w:r>
    </w:p>
    <w:p w14:paraId="5F3D4C86" w14:textId="77777777" w:rsidR="009B5E6C" w:rsidRDefault="009B5E6C" w:rsidP="00241536">
      <w:pPr>
        <w:pStyle w:val="SemEspaamento"/>
      </w:pPr>
    </w:p>
    <w:p w14:paraId="4DADA0EC" w14:textId="779C058A" w:rsidR="00482809" w:rsidRDefault="003B0905">
      <w:pPr>
        <w:pageBreakBefore/>
      </w:pPr>
      <w:r>
        <w:rPr>
          <w:rFonts w:ascii="Verdana" w:hAnsi="Verdana"/>
          <w:b/>
        </w:rPr>
        <w:lastRenderedPageBreak/>
        <w:t>© 20</w:t>
      </w:r>
      <w:r w:rsidR="00A64D08">
        <w:rPr>
          <w:rFonts w:ascii="Verdana" w:hAnsi="Verdana"/>
          <w:b/>
        </w:rPr>
        <w:t>2</w:t>
      </w:r>
      <w:r w:rsidR="00C74D97">
        <w:rPr>
          <w:rFonts w:ascii="Verdana" w:hAnsi="Verdana"/>
          <w:b/>
        </w:rPr>
        <w:t>1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30D32D9C" w14:textId="77777777" w:rsidR="00482809" w:rsidRDefault="00482809"/>
    <w:p w14:paraId="26B9739D" w14:textId="77777777" w:rsidR="00482809" w:rsidRDefault="00482809">
      <w:pPr>
        <w:rPr>
          <w:sz w:val="40"/>
          <w:szCs w:val="40"/>
        </w:rPr>
      </w:pPr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68384D22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</w:t>
      </w:r>
      <w:r w:rsidR="00BE513F">
        <w:rPr>
          <w:rFonts w:ascii="Verdana" w:hAnsi="Verdana"/>
          <w:sz w:val="32"/>
          <w:szCs w:val="32"/>
        </w:rPr>
        <w:t>referente ao</w:t>
      </w:r>
      <w:r w:rsidR="00C46779" w:rsidRPr="001E3478">
        <w:rPr>
          <w:rFonts w:ascii="Verdana" w:hAnsi="Verdana"/>
          <w:sz w:val="32"/>
          <w:szCs w:val="32"/>
        </w:rPr>
        <w:t xml:space="preserve"> mês de </w:t>
      </w:r>
      <w:r w:rsidR="00442DF5">
        <w:rPr>
          <w:rFonts w:ascii="Verdana" w:hAnsi="Verdana"/>
          <w:sz w:val="32"/>
          <w:szCs w:val="32"/>
        </w:rPr>
        <w:t>junho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>Ano 20</w:t>
      </w:r>
      <w:r w:rsidR="00A64D08">
        <w:rPr>
          <w:rFonts w:ascii="Verdana" w:hAnsi="Verdana"/>
          <w:b/>
          <w:color w:val="1F497D"/>
          <w:sz w:val="32"/>
          <w:szCs w:val="32"/>
        </w:rPr>
        <w:t>2</w:t>
      </w:r>
      <w:r w:rsidR="00C74D97">
        <w:rPr>
          <w:rFonts w:ascii="Verdana" w:hAnsi="Verdana"/>
          <w:b/>
          <w:color w:val="1F497D"/>
          <w:sz w:val="32"/>
          <w:szCs w:val="32"/>
        </w:rPr>
        <w:t>1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>Rua Prefeito Ernani Lauritzen,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0A7429B1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</w:p>
    <w:p w14:paraId="2570127D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57821F2C" w14:textId="77777777" w:rsidR="00CC0F09" w:rsidRPr="001E3478" w:rsidRDefault="006B6DC0" w:rsidP="00CC0F09">
      <w:r w:rsidRPr="001E3478">
        <w:rPr>
          <w:rFonts w:ascii="Verdana" w:hAnsi="Verdana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5F8CDD" wp14:editId="71ABD6E5">
                <wp:simplePos x="0" y="0"/>
                <wp:positionH relativeFrom="column">
                  <wp:posOffset>2543175</wp:posOffset>
                </wp:positionH>
                <wp:positionV relativeFrom="paragraph">
                  <wp:posOffset>257175</wp:posOffset>
                </wp:positionV>
                <wp:extent cx="1003935" cy="753110"/>
                <wp:effectExtent l="0" t="0" r="0" b="0"/>
                <wp:wrapNone/>
                <wp:docPr id="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935" cy="753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720A97" id=" 28" o:spid="_x0000_s1026" style="position:absolute;margin-left:200.25pt;margin-top:20.25pt;width:79.05pt;height:5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vFZAIAANIEAAAOAAAAZHJzL2Uyb0RvYy54bWysVNuO0zAQfUfiHyy/d3Npsm2ipit2lyKk&#10;BVZa+ADXdhoLxza223RB/Dtjpy0t8IAQeXBmPOPxOXPx4mbfS7Tj1gmtGpxdpRhxRTUTatPgTx9X&#10;kzlGzhPFiNSKN/iZO3yzfPliMZia57rTknGLIIhy9WAa3Hlv6iRxtOM9cVfacAXGVtueeFDtJmGW&#10;DBC9l0meptfJoC0zVlPuHOzej0a8jPHbllP/oW0d90g2GLD5uNq4rsOaLBek3lhiOkEPMMg/oOiJ&#10;UHDpKdQ98QRtrfgtVC+o1U63/orqPtFtKyiPHIBNlv7C5qkjhkcukBxnTmly/y8sfb97tEiwBpcY&#10;KdJDiVA+D2kZjKvB+mQebSDmzIOmnx0YkgtLUBz4oPXwTjM4TrZex1TsW9uHk0AS7WPGn08Z53uP&#10;KGxmaTqtpnA1BdusnGZZLElC6uNpY51/w3WPgtBgLqUwLiSF1GT34HwAROqjV0SqpWArIWVU7GZ9&#10;Jy3aEWiAVfwCOTjizt2kCs5Kh2OjedwBnHBHsAXEsaDfqiwv0tu8mqyu57NJsSrKSTVL55M0q26r&#10;67SoivvV9wAwK+pOMMbVg1D82FxZ8XfFO7T52BaxvdDQ4KrMy8j9Ar07J5nG708krd4qBuxI3XHC&#10;Xh9kT4Qc5eQSccwS0D7+YyJi8UO9xwZZa/YMtbcaSgPjBQ8BCJ22XzEaYKga7L5sieUYybcKurbK&#10;iiJMYVSKcpaDYs8t63MLURRCNdhjNIp3fpzcrbFi08FNWcyF0q+g51oReyH044gKcAcFBicyOAx5&#10;mMxzPXr9fIqWPwAAAP//AwBQSwMEFAAGAAgAAAAhABSpOHzeAAAACgEAAA8AAABkcnMvZG93bnJl&#10;di54bWxMj8FuwjAMhu+T9g6RJ+02EthSoGuKENo07bDDYLuH1rQVjVM1gZa3nzmNk2350+/P2Wp0&#10;rThjHxpPBqYTBQKp8GVDlYGf3fvTAkSIlkrbekIDFwywyu/vMpuWfqBvPG9jJTiEQmoN1DF2qZSh&#10;qNHZMPEdEu8Ovnc28thXsuztwOGulTOlEulsQ3yhth1uaiyO25Mz8LH5GnYzN5+/Ncff4lmvPy+Y&#10;dMY8PozrVxARx/gPw1Wf1SFnp70/URlEa+BFKc3oteHKgNaLBMSeSb2cgswzeftC/gcAAP//AwBQ&#10;SwECLQAUAAYACAAAACEAtoM4kv4AAADhAQAAEwAAAAAAAAAAAAAAAAAAAAAAW0NvbnRlbnRfVHlw&#10;ZXNdLnhtbFBLAQItABQABgAIAAAAIQA4/SH/1gAAAJQBAAALAAAAAAAAAAAAAAAAAC8BAABfcmVs&#10;cy8ucmVsc1BLAQItABQABgAIAAAAIQAFAMvFZAIAANIEAAAOAAAAAAAAAAAAAAAAAC4CAABkcnMv&#10;ZTJvRG9jLnhtbFBLAQItABQABgAIAAAAIQAUqTh83gAAAAoBAAAPAAAAAAAAAAAAAAAAAL4EAABk&#10;cnMvZG93bnJldi54bWxQSwUGAAAAAAQABADzAAAAyQUAAAAA&#10;" stroked="f">
                <v:path arrowok="t"/>
              </v:oval>
            </w:pict>
          </mc:Fallback>
        </mc:AlternateContent>
      </w:r>
      <w:r w:rsidR="0089258B" w:rsidRPr="001E3478">
        <w:rPr>
          <w:rFonts w:ascii="Verdana" w:hAnsi="Verdana"/>
          <w:sz w:val="28"/>
          <w:szCs w:val="28"/>
        </w:rPr>
        <w:t>Assessoria de Comunicação</w:t>
      </w:r>
    </w:p>
    <w:p w14:paraId="40039AB8" w14:textId="77777777" w:rsidR="007E090A" w:rsidRDefault="007E090A">
      <w:pPr>
        <w:rPr>
          <w:rFonts w:ascii="Verdana" w:hAnsi="Verdana"/>
          <w:b/>
          <w:color w:val="042B55"/>
          <w:sz w:val="36"/>
          <w:szCs w:val="36"/>
        </w:rPr>
      </w:pPr>
    </w:p>
    <w:p w14:paraId="35F2CC0D" w14:textId="56456A15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lastRenderedPageBreak/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3AB3DA5B" w:rsidR="00306ACE" w:rsidRPr="00011DB6" w:rsidRDefault="00D66B20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7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77777777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3A790FC0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0" w:name="_Toc442435698"/>
      <w:bookmarkStart w:id="1" w:name="_Toc442894840"/>
      <w:bookmarkStart w:id="2" w:name="_Toc442895461"/>
      <w:bookmarkStart w:id="3" w:name="_Toc442895647"/>
      <w:bookmarkStart w:id="4" w:name="_Toc444243561"/>
      <w:bookmarkStart w:id="5" w:name="_Toc444243585"/>
      <w:bookmarkStart w:id="6" w:name="_Toc444254578"/>
      <w:bookmarkStart w:id="7" w:name="_Toc445460673"/>
      <w:bookmarkStart w:id="8" w:name="_Toc447612403"/>
      <w:bookmarkStart w:id="9" w:name="_Toc450644352"/>
      <w:bookmarkStart w:id="10" w:name="_Toc453150265"/>
      <w:bookmarkStart w:id="11" w:name="_Toc453232332"/>
      <w:bookmarkStart w:id="12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536535">
        <w:rPr>
          <w:rFonts w:ascii="Verdana" w:hAnsi="Verdana"/>
        </w:rPr>
        <w:t>2</w:t>
      </w:r>
      <w:r w:rsidR="00B4263F">
        <w:rPr>
          <w:rFonts w:ascii="Verdana" w:hAnsi="Verdana"/>
        </w:rPr>
        <w:t>6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442DF5">
        <w:rPr>
          <w:rFonts w:ascii="Verdana" w:hAnsi="Verdana"/>
        </w:rPr>
        <w:t>junho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536535">
        <w:rPr>
          <w:rFonts w:ascii="Verdana" w:hAnsi="Verdana"/>
        </w:rPr>
        <w:t>4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3787E20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</w:t>
      </w:r>
      <w:r w:rsidR="00BE513F">
        <w:rPr>
          <w:rFonts w:ascii="Verdana" w:hAnsi="Verdana" w:cs="Verdana"/>
          <w:color w:val="000000"/>
        </w:rPr>
        <w:t>,</w:t>
      </w:r>
      <w:r w:rsidRPr="003B638E">
        <w:rPr>
          <w:rFonts w:ascii="Verdana" w:hAnsi="Verdana" w:cs="Verdana"/>
          <w:color w:val="000000"/>
        </w:rPr>
        <w:t xml:space="preserve"> pessoalmente</w:t>
      </w:r>
      <w:r w:rsidR="00BE513F">
        <w:rPr>
          <w:rFonts w:ascii="Verdana" w:hAnsi="Verdana" w:cs="Verdana"/>
          <w:color w:val="000000"/>
        </w:rPr>
        <w:t>,</w:t>
      </w:r>
      <w:bookmarkStart w:id="13" w:name="_GoBack"/>
      <w:bookmarkEnd w:id="13"/>
      <w:r w:rsidRPr="003B638E">
        <w:rPr>
          <w:rFonts w:ascii="Verdana" w:hAnsi="Verdana" w:cs="Verdana"/>
          <w:color w:val="000000"/>
        </w:rPr>
        <w:t xml:space="preserve">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1C986A9D" w:rsidR="00492FD4" w:rsidRPr="000A5DE7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5DE7">
        <w:rPr>
          <w:rFonts w:ascii="Arial" w:hAnsi="Arial" w:cs="Arial"/>
          <w:sz w:val="24"/>
          <w:szCs w:val="24"/>
          <w:shd w:val="clear" w:color="auto" w:fill="FFFFFF"/>
        </w:rPr>
        <w:t>Varejão São Luiz popular R. Francisco Lopes de Almeida, 250 - Cruzeiro</w:t>
      </w:r>
      <w:r w:rsidR="00492FD4" w:rsidRPr="000A5D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8140B15" w14:textId="32C3AEF2" w:rsidR="0023198E" w:rsidRPr="000A5DE7" w:rsidRDefault="000A5DE7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5DE7">
        <w:rPr>
          <w:rFonts w:ascii="Arial" w:eastAsia="Times New Roman" w:hAnsi="Arial" w:cs="Arial"/>
          <w:sz w:val="24"/>
          <w:szCs w:val="24"/>
          <w:lang w:eastAsia="pt-BR"/>
        </w:rPr>
        <w:t>REDE VER</w:t>
      </w:r>
      <w:r w:rsidR="00B4263F">
        <w:rPr>
          <w:rFonts w:ascii="Arial" w:eastAsia="Times New Roman" w:hAnsi="Arial" w:cs="Arial"/>
          <w:sz w:val="24"/>
          <w:szCs w:val="24"/>
          <w:lang w:eastAsia="pt-BR"/>
        </w:rPr>
        <w:t>Í</w:t>
      </w:r>
      <w:r w:rsidRPr="000A5DE7">
        <w:rPr>
          <w:rFonts w:ascii="Arial" w:eastAsia="Times New Roman" w:hAnsi="Arial" w:cs="Arial"/>
          <w:sz w:val="24"/>
          <w:szCs w:val="24"/>
          <w:lang w:eastAsia="pt-BR"/>
        </w:rPr>
        <w:t>SSIMO</w:t>
      </w:r>
      <w:r w:rsidR="0023198E" w:rsidRPr="000A5DE7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0A5DE7">
        <w:rPr>
          <w:rStyle w:val="Fontepargpadro1"/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0A5DE7">
        <w:rPr>
          <w:rStyle w:val="grkhzd"/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 </w:t>
      </w:r>
      <w:r w:rsidRPr="000A5DE7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>na galeria do extra - Av. Pref. Severino Bezerra Cabral - Catolé</w:t>
      </w:r>
    </w:p>
    <w:p w14:paraId="29963B5A" w14:textId="6C9B2242" w:rsidR="0023198E" w:rsidRPr="000A5DE7" w:rsidRDefault="00B4263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Red</w:t>
      </w:r>
      <w:r w:rsidR="00F70F0F" w:rsidRPr="000A5DE7">
        <w:rPr>
          <w:rFonts w:ascii="Arial" w:eastAsia="Times New Roman" w:hAnsi="Arial" w:cs="Arial"/>
          <w:sz w:val="24"/>
          <w:szCs w:val="24"/>
          <w:lang w:eastAsia="pt-BR"/>
        </w:rPr>
        <w:t>pharma -  Av. Alm. Barroso, 1728 Cruzeiro</w:t>
      </w:r>
      <w:r w:rsidR="0023198E" w:rsidRPr="000A5DE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5F51DDA0" w14:textId="235CBC3F" w:rsidR="0023198E" w:rsidRPr="000A5DE7" w:rsidRDefault="0023198E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5DE7">
        <w:rPr>
          <w:rFonts w:ascii="Arial" w:eastAsia="Times New Roman" w:hAnsi="Arial" w:cs="Arial"/>
          <w:sz w:val="24"/>
          <w:szCs w:val="24"/>
          <w:lang w:eastAsia="pt-BR"/>
        </w:rPr>
        <w:t>Farmácias Pag</w:t>
      </w:r>
      <w:r w:rsidR="00B4263F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Pr="000A5DE7">
        <w:rPr>
          <w:rFonts w:ascii="Arial" w:eastAsia="Times New Roman" w:hAnsi="Arial" w:cs="Arial"/>
          <w:sz w:val="24"/>
          <w:szCs w:val="24"/>
          <w:lang w:eastAsia="pt-BR"/>
        </w:rPr>
        <w:t xml:space="preserve"> Menos - Av. Mal. Floriano Peixoto, 870 – Centro;</w:t>
      </w: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6DE6F31A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B4263F">
        <w:rPr>
          <w:rFonts w:ascii="Verdana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</w:t>
      </w:r>
      <w:r w:rsidR="00B4263F"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último reajuste ocorreu em abril de 2021</w:t>
      </w:r>
      <w:r w:rsidR="00943552"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por meio da</w:t>
      </w:r>
      <w:r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Resolução nº 1, de </w:t>
      </w:r>
      <w:r w:rsidR="00B4263F"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31/03/2021</w:t>
      </w:r>
      <w:r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da CMED, que dispõe sobre a forma de definição do Preço do Fabricante</w:t>
      </w:r>
      <w:r w:rsidR="00943552"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disciplina a publicidade dos preços dos produtos farmacêuticos e define as margens de</w:t>
      </w:r>
      <w:r w:rsidR="00943552"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B4263F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comercialização desses produtos.</w:t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089D847B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23B7748B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442DF5">
        <w:rPr>
          <w:rFonts w:ascii="Cambria" w:hAnsi="Cambria"/>
          <w:color w:val="0070C0"/>
          <w:sz w:val="20"/>
          <w:szCs w:val="20"/>
        </w:rPr>
        <w:t>junho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CC2BCE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345"/>
        <w:gridCol w:w="1648"/>
        <w:gridCol w:w="1537"/>
        <w:gridCol w:w="1638"/>
        <w:gridCol w:w="1233"/>
      </w:tblGrid>
      <w:tr w:rsidR="00F70F0F" w:rsidRPr="00F70F0F" w14:paraId="487465DF" w14:textId="77777777" w:rsidTr="00442DF5">
        <w:trPr>
          <w:trHeight w:val="324"/>
        </w:trPr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E105E09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4F47714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1892530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56483FE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C289425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BC8265B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F70F0F" w:rsidRPr="00F70F0F" w14:paraId="00B738E6" w14:textId="77777777" w:rsidTr="00442DF5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3474FCBF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10F1F9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1F94FB" w14:textId="100C4404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A32B83" w14:textId="6A4EC3B7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442D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35,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C9219E" w14:textId="4D29456F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442D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18,86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1BB338" w14:textId="6B1A8BF9" w:rsidR="00F70F0F" w:rsidRPr="00F70F0F" w:rsidRDefault="00442DF5" w:rsidP="00F70F0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250%</w:t>
            </w:r>
          </w:p>
        </w:tc>
      </w:tr>
      <w:tr w:rsidR="00F70F0F" w:rsidRPr="00F70F0F" w14:paraId="79374713" w14:textId="77777777" w:rsidTr="00442DF5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100E82F5" w14:textId="18382A83" w:rsidR="00F70F0F" w:rsidRPr="00F70F0F" w:rsidRDefault="00442DF5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METFORMINA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C2BBB6" w14:textId="0757054E" w:rsidR="00F70F0F" w:rsidRPr="00F70F0F" w:rsidRDefault="00442DF5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442DF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A7F7C5" w14:textId="47662AC6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442D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D8F6B3" w14:textId="1FF29F94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442D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21,10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7D2714" w14:textId="1AE38A59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442D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50F797" w14:textId="5A49DC58" w:rsidR="00F70F0F" w:rsidRPr="00F70F0F" w:rsidRDefault="00442DF5" w:rsidP="00F70F0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163,75</w:t>
            </w:r>
            <w:r w:rsidR="00F70F0F" w:rsidRPr="00F70F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573F8612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442DF5">
        <w:rPr>
          <w:rFonts w:ascii="Cambria" w:hAnsi="Cambria"/>
          <w:color w:val="0070C0"/>
          <w:sz w:val="20"/>
          <w:szCs w:val="20"/>
        </w:rPr>
        <w:t>junho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5E4CE2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303"/>
        <w:gridCol w:w="1596"/>
        <w:gridCol w:w="1489"/>
        <w:gridCol w:w="1586"/>
        <w:gridCol w:w="1196"/>
      </w:tblGrid>
      <w:tr w:rsidR="00536535" w:rsidRPr="00F70F0F" w14:paraId="07A369EF" w14:textId="77777777" w:rsidTr="00665AD9">
        <w:trPr>
          <w:trHeight w:val="324"/>
        </w:trPr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93C2D28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9D2D8C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CE941C7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B8D5B1E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8ED4FFC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3225853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536535" w:rsidRPr="00F70F0F" w14:paraId="50550141" w14:textId="77777777" w:rsidTr="00665AD9">
        <w:trPr>
          <w:trHeight w:val="30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23239A04" w14:textId="0D383BE3" w:rsidR="00F70F0F" w:rsidRPr="00F70F0F" w:rsidRDefault="00665AD9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65AD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D85B07" w14:textId="5801F2DC" w:rsidR="00F70F0F" w:rsidRPr="00F70F0F" w:rsidRDefault="00665AD9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65AD9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28F1A3" w14:textId="1C51922B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3,33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CAC8BD" w14:textId="72114714" w:rsidR="00F70F0F" w:rsidRPr="00F70F0F" w:rsidRDefault="00665AD9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R$12,55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83E249" w14:textId="7A7D5A03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8CEC61" w14:textId="562C6551" w:rsidR="00F70F0F" w:rsidRPr="00F70F0F" w:rsidRDefault="00665AD9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276,88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536535" w:rsidRPr="00F70F0F" w14:paraId="41240EA7" w14:textId="77777777" w:rsidTr="00665AD9">
        <w:trPr>
          <w:trHeight w:val="288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681E0768" w14:textId="28C243D4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0F1717" w14:textId="0883DC21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 mg/ml - gotas - 1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ml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F5C64A" w14:textId="6A9A8F58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C4E52A" w14:textId="12DA067B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9865C1" w14:textId="5A1336B3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8493B9" w14:textId="6381C104" w:rsidR="00F70F0F" w:rsidRPr="00F70F0F" w:rsidRDefault="00B96C9D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25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536535" w:rsidRPr="00F70F0F" w14:paraId="5FE4263E" w14:textId="77777777" w:rsidTr="00665AD9">
        <w:trPr>
          <w:trHeight w:val="30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1F52EC78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467C3A" w14:textId="479AEADD" w:rsidR="00F70F0F" w:rsidRPr="00F70F0F" w:rsidRDefault="00B96C9D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 mg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/ml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gotas 15ml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18A598" w14:textId="5E3E674E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,99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95A0F8" w14:textId="36B50035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4D2162" w14:textId="7AC8634C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069DE4" w14:textId="6797891D" w:rsidR="00F70F0F" w:rsidRPr="00F70F0F" w:rsidRDefault="00665AD9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120,74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536535" w:rsidRPr="00F70F0F" w14:paraId="7787605D" w14:textId="77777777" w:rsidTr="00665AD9">
        <w:trPr>
          <w:trHeight w:val="30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4E9C0073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CA1325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4D4456" w14:textId="42EE8998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R$ 3,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438589" w14:textId="5079234F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R$ 1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66C0FF" w14:textId="324081FE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665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06C384" w14:textId="105E50E3" w:rsidR="00F70F0F" w:rsidRPr="00F70F0F" w:rsidRDefault="00665AD9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359,09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6EA7B8CB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genéricos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2424DA">
        <w:rPr>
          <w:rFonts w:ascii="Verdana" w:eastAsia="Times New Roman" w:hAnsi="Verdana" w:cs="Times New Roman"/>
          <w:lang w:eastAsia="pt-BR"/>
        </w:rPr>
        <w:t>6</w:t>
      </w:r>
      <w:r w:rsidR="00665AD9">
        <w:rPr>
          <w:rFonts w:ascii="Verdana" w:eastAsia="Times New Roman" w:hAnsi="Verdana" w:cs="Times New Roman"/>
          <w:lang w:eastAsia="pt-BR"/>
        </w:rPr>
        <w:t>0</w:t>
      </w:r>
      <w:r w:rsidR="002424DA">
        <w:rPr>
          <w:rFonts w:ascii="Verdana" w:eastAsia="Times New Roman" w:hAnsi="Verdana" w:cs="Times New Roman"/>
          <w:lang w:eastAsia="pt-BR"/>
        </w:rPr>
        <w:t>,</w:t>
      </w:r>
      <w:r w:rsidR="00665AD9">
        <w:rPr>
          <w:rFonts w:ascii="Verdana" w:eastAsia="Times New Roman" w:hAnsi="Verdana" w:cs="Times New Roman"/>
          <w:lang w:eastAsia="pt-BR"/>
        </w:rPr>
        <w:t>56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D13A71">
        <w:rPr>
          <w:rFonts w:ascii="Verdana" w:eastAsia="Times New Roman" w:hAnsi="Verdana" w:cs="Times New Roman"/>
          <w:lang w:eastAsia="pt-BR"/>
        </w:rPr>
        <w:t>baratos</w:t>
      </w:r>
      <w:r w:rsidR="007038F1">
        <w:rPr>
          <w:rFonts w:ascii="Verdana" w:eastAsia="Times New Roman" w:hAnsi="Verdana" w:cs="Times New Roman"/>
          <w:lang w:eastAsia="pt-BR"/>
        </w:rPr>
        <w:t xml:space="preserve"> do que os </w:t>
      </w:r>
      <w:r w:rsidR="00D13A71">
        <w:rPr>
          <w:rFonts w:ascii="Verdana" w:eastAsia="Times New Roman" w:hAnsi="Verdana" w:cs="Times New Roman"/>
          <w:lang w:eastAsia="pt-BR"/>
        </w:rPr>
        <w:t>de refer</w:t>
      </w:r>
      <w:r w:rsidR="00064448">
        <w:rPr>
          <w:rFonts w:ascii="Verdana" w:eastAsia="Times New Roman" w:hAnsi="Verdana" w:cs="Times New Roman"/>
          <w:lang w:eastAsia="pt-BR"/>
        </w:rPr>
        <w:t>ê</w:t>
      </w:r>
      <w:r w:rsidR="00D13A71">
        <w:rPr>
          <w:rFonts w:ascii="Verdana" w:eastAsia="Times New Roman" w:hAnsi="Verdana" w:cs="Times New Roman"/>
          <w:lang w:eastAsia="pt-BR"/>
        </w:rPr>
        <w:t>ncia</w:t>
      </w:r>
      <w:r w:rsidRPr="006A7F49">
        <w:rPr>
          <w:rFonts w:ascii="Verdana" w:eastAsia="Times New Roman" w:hAnsi="Verdana" w:cs="Times New Roman"/>
          <w:lang w:eastAsia="pt-BR"/>
        </w:rPr>
        <w:t xml:space="preserve">, o que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1288"/>
        <w:gridCol w:w="1577"/>
        <w:gridCol w:w="4769"/>
        <w:gridCol w:w="1239"/>
        <w:gridCol w:w="1061"/>
        <w:gridCol w:w="1061"/>
        <w:gridCol w:w="1061"/>
      </w:tblGrid>
      <w:tr w:rsidR="00143671" w:rsidRPr="00143671" w14:paraId="236BA0F9" w14:textId="77777777" w:rsidTr="00143671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496B0" w:fill="8496B0"/>
            <w:noWrap/>
            <w:vAlign w:val="center"/>
            <w:hideMark/>
          </w:tcPr>
          <w:p w14:paraId="6815B272" w14:textId="77777777" w:rsidR="00143671" w:rsidRPr="00143671" w:rsidRDefault="00143671" w:rsidP="001436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143671" w:rsidRPr="00143671" w14:paraId="49A3E640" w14:textId="77777777" w:rsidTr="00143671">
        <w:trPr>
          <w:trHeight w:val="301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730B36F6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104878A7" w14:textId="77777777" w:rsidR="00143671" w:rsidRPr="00143671" w:rsidRDefault="00143671" w:rsidP="001436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474946C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612C3AC5" w14:textId="77777777" w:rsidR="00143671" w:rsidRPr="00143671" w:rsidRDefault="00143671" w:rsidP="001436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8D77D8A" w14:textId="77777777" w:rsidR="00143671" w:rsidRPr="00143671" w:rsidRDefault="00143671" w:rsidP="001436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 Veríssimo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DF81F80" w14:textId="77777777" w:rsidR="00143671" w:rsidRPr="00143671" w:rsidRDefault="00143671" w:rsidP="001436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Varejão São Luiz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32DD61D2" w14:textId="77777777" w:rsidR="00143671" w:rsidRPr="00143671" w:rsidRDefault="00143671" w:rsidP="001436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 Redepharma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1FE738D" w14:textId="77777777" w:rsidR="00143671" w:rsidRPr="00143671" w:rsidRDefault="00143671" w:rsidP="0014367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Farmácias Pague Menos</w:t>
            </w:r>
          </w:p>
        </w:tc>
      </w:tr>
      <w:tr w:rsidR="00143671" w:rsidRPr="00143671" w14:paraId="2CB67BE9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2FC5132C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445E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ABA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92563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C485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10C4C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AAC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28,38 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0A49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33,25 </w:t>
            </w:r>
          </w:p>
        </w:tc>
      </w:tr>
      <w:tr w:rsidR="00143671" w:rsidRPr="00143671" w14:paraId="1D23B941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71A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30D3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D801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697E5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medley/ems/germed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1E0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094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14,00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6E0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11,95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C44A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15,85 </w:t>
            </w:r>
          </w:p>
        </w:tc>
      </w:tr>
      <w:tr w:rsidR="00143671" w:rsidRPr="00143671" w14:paraId="6C11FDC8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7E86B79E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33C5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BA5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46C17E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04D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12,30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C47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7,27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748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11,18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603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13,10 </w:t>
            </w:r>
          </w:p>
        </w:tc>
      </w:tr>
      <w:tr w:rsidR="00143671" w:rsidRPr="00143671" w14:paraId="5AFF54C4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D486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DDB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8DF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52AB3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cimed/medley/biosintética/prati/germed/multlab/vitamed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3C7D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4,00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5EFB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97E2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91C4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3,65 </w:t>
            </w:r>
          </w:p>
        </w:tc>
      </w:tr>
      <w:tr w:rsidR="00143671" w:rsidRPr="00143671" w14:paraId="41F01081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1063D625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1558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AAE1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E78BE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AE64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28,00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99D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35,31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E22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33,99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B3D6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38,90 </w:t>
            </w:r>
          </w:p>
        </w:tc>
      </w:tr>
      <w:tr w:rsidR="00143671" w:rsidRPr="00143671" w14:paraId="2276F48D" w14:textId="77777777" w:rsidTr="00143671">
        <w:trPr>
          <w:trHeight w:val="270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0E97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75A6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1D06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46401B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ems/neo química/cimed/legrand/germed/ache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605E0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8,00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59C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3,33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E48B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919C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12,55 </w:t>
            </w:r>
          </w:p>
        </w:tc>
      </w:tr>
      <w:tr w:rsidR="00143671" w:rsidRPr="00143671" w14:paraId="09F2B4F6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489087D5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E293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0656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BB822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AE3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11,20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5BB6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10,54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313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10,54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B7ACC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11,90 </w:t>
            </w:r>
          </w:p>
        </w:tc>
      </w:tr>
      <w:tr w:rsidR="00143671" w:rsidRPr="00143671" w14:paraId="161691AB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F478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74C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310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932CE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química/ems/belfar/nova Química/natulab/geolab/germed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E63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3,00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F27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B09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5,30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8A8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6,75 </w:t>
            </w:r>
          </w:p>
        </w:tc>
      </w:tr>
      <w:tr w:rsidR="00143671" w:rsidRPr="00143671" w14:paraId="3B101CE6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7ADF0AE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ENANTATO DE NORETISTERONA + VALERATO DE ESTRADIOL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6D68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50+5 mg/ml inj c/1 seringa - 1  ml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0EE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MESIGYNA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E0291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57387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EFB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30,60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FC80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29,45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DA85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34,10 </w:t>
            </w:r>
          </w:p>
        </w:tc>
      </w:tr>
      <w:tr w:rsidR="00143671" w:rsidRPr="00143671" w14:paraId="7BD5E543" w14:textId="77777777" w:rsidTr="00143671">
        <w:trPr>
          <w:trHeight w:val="270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70B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933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AAB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C842D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ems/eurofarma/mabra/cipharma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8DA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5C8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19,99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15460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BC9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18,95 </w:t>
            </w:r>
          </w:p>
        </w:tc>
      </w:tr>
      <w:tr w:rsidR="00143671" w:rsidRPr="00143671" w14:paraId="010D4568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57C93792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ENALAPRIL +</w:t>
            </w: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BC2C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BF8D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1365A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EE207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1FD6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41,58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2867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40,00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A83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46,35 </w:t>
            </w:r>
          </w:p>
        </w:tc>
      </w:tr>
      <w:tr w:rsidR="00143671" w:rsidRPr="00143671" w14:paraId="4D20D82E" w14:textId="77777777" w:rsidTr="00143671">
        <w:trPr>
          <w:trHeight w:val="270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65F1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D37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B72D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01A9B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teuto/ems/merck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7D4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10,00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00B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14,99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E1F9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14,90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926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20,60 </w:t>
            </w:r>
          </w:p>
        </w:tc>
      </w:tr>
      <w:tr w:rsidR="00143671" w:rsidRPr="00143671" w14:paraId="3582B041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0012373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FUROSEMIDA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6FB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339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C53D1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84D9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17,00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A3C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16,36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9B24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15,75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A5B70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16,97 </w:t>
            </w:r>
          </w:p>
        </w:tc>
      </w:tr>
      <w:tr w:rsidR="00143671" w:rsidRPr="00143671" w14:paraId="5BCB97A9" w14:textId="77777777" w:rsidTr="00143671">
        <w:trPr>
          <w:trHeight w:val="25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7BE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92B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D7C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641A5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quimica/biosintética/geolab/teuto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1019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4,00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64BC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EAC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4,50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A0FC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6,20 </w:t>
            </w:r>
          </w:p>
        </w:tc>
      </w:tr>
      <w:tr w:rsidR="00143671" w:rsidRPr="00143671" w14:paraId="34E79CBC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2C8616D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3E4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F8A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CF5C51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38A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10,40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A9B4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8,96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4F43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9,35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165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10,70 </w:t>
            </w:r>
          </w:p>
        </w:tc>
      </w:tr>
      <w:tr w:rsidR="00143671" w:rsidRPr="00143671" w14:paraId="238AF698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BAAE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6BA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68E3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4C579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medley/noequimica/medquimica/legrand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89A3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4,00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0C8C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3,33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7F4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4,07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7238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3,10 </w:t>
            </w:r>
          </w:p>
        </w:tc>
      </w:tr>
      <w:tr w:rsidR="00143671" w:rsidRPr="00143671" w14:paraId="4E311040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2522E50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0F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5A97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0C3888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A5F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35,00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493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10,00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B150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13,90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A69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16,53 </w:t>
            </w:r>
          </w:p>
        </w:tc>
      </w:tr>
      <w:tr w:rsidR="00143671" w:rsidRPr="00143671" w14:paraId="62801DCF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4AD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9037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68B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B3368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teuto/ems/multilab/neo química/germed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0117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1536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877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D72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5,75 </w:t>
            </w:r>
          </w:p>
        </w:tc>
      </w:tr>
      <w:tr w:rsidR="00143671" w:rsidRPr="00143671" w14:paraId="32B2EBA0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6804721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47F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0C13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B0EF7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004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8,00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AA3B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19,35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7E5E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C4FEC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21,10 </w:t>
            </w:r>
          </w:p>
        </w:tc>
      </w:tr>
      <w:tr w:rsidR="00143671" w:rsidRPr="00143671" w14:paraId="5E58551B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194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0BC3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0B5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2BCE0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medley/ems/prati/mutlab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4BBC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7,00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E2C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3D6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BE40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5,15 </w:t>
            </w:r>
          </w:p>
        </w:tc>
      </w:tr>
      <w:tr w:rsidR="00143671" w:rsidRPr="00143671" w14:paraId="297D486E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7DC5E836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660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6261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9FE76D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FF5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18,50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87B2C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19,99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426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19,99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D677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24,91 </w:t>
            </w:r>
          </w:p>
        </w:tc>
      </w:tr>
      <w:tr w:rsidR="00143671" w:rsidRPr="00143671" w14:paraId="698BB223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7C7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357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39CD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A134F5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9596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437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19,99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5E7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16,90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999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18,10 </w:t>
            </w:r>
          </w:p>
        </w:tc>
      </w:tr>
      <w:tr w:rsidR="00143671" w:rsidRPr="00143671" w14:paraId="09E8555C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2F3DD8F5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0C96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D1AD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CA500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D1F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45,00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D7F7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42,19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0D64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44,80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ED0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47,60 </w:t>
            </w:r>
          </w:p>
        </w:tc>
      </w:tr>
      <w:tr w:rsidR="00143671" w:rsidRPr="00143671" w14:paraId="63378719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F561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1FAE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0FD5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B72C02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cimed/neo quimica/nova quimica/1farma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031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39CA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03A6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3,30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E9B4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15,15 </w:t>
            </w:r>
          </w:p>
        </w:tc>
      </w:tr>
      <w:tr w:rsidR="00143671" w:rsidRPr="00143671" w14:paraId="09D7805D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6446AC8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F78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0E9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AD688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D5C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22,50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14B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21,23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1C2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17,99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01D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24,20 </w:t>
            </w:r>
          </w:p>
        </w:tc>
      </w:tr>
      <w:tr w:rsidR="00143671" w:rsidRPr="00143671" w14:paraId="4CE213E4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13AD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ADEA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AA38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E619BB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ems/nova química/cimed/germed/euro farma/natulab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10A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5,00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719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A987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2A8C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6,60 </w:t>
            </w:r>
          </w:p>
        </w:tc>
      </w:tr>
      <w:tr w:rsidR="00143671" w:rsidRPr="00143671" w14:paraId="278440DB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1821E8B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B5D6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750 mg - 20 </w:t>
            </w: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B367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TYLENOL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53609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B2E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19,80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84F7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28,50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B5E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24,99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EF6F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35,63 </w:t>
            </w:r>
          </w:p>
        </w:tc>
      </w:tr>
      <w:tr w:rsidR="00143671" w:rsidRPr="00143671" w14:paraId="680A5D61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C8A2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B5BC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C0B1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722683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química/nova Química/ems/teuto/biosintética/prati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C2BC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8,00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85D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9D8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8A7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9,35 </w:t>
            </w:r>
          </w:p>
        </w:tc>
      </w:tr>
      <w:tr w:rsidR="00143671" w:rsidRPr="00143671" w14:paraId="683A9C95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70AD38E3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SIMETICONA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56D3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A7F5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772A89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9D0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21,85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74B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20,60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DC7F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21,85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DBBC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22,44 </w:t>
            </w:r>
          </w:p>
        </w:tc>
      </w:tr>
      <w:tr w:rsidR="00143671" w:rsidRPr="00143671" w14:paraId="6B0FD2D7" w14:textId="77777777" w:rsidTr="00143671">
        <w:trPr>
          <w:trHeight w:val="270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FCA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B4E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4BF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14B54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medley/teuto/ems/nova quimica/cimed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8E0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7,00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E14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8,00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649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5E21A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6,90 </w:t>
            </w:r>
          </w:p>
        </w:tc>
      </w:tr>
      <w:tr w:rsidR="00143671" w:rsidRPr="00143671" w14:paraId="5FEB146F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5918625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799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20 comprimidos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9097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BACTRIM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48B890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D3FA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031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24,93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7002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24,43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D0B8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29,15 </w:t>
            </w:r>
          </w:p>
        </w:tc>
      </w:tr>
      <w:tr w:rsidR="00143671" w:rsidRPr="00143671" w14:paraId="46D4D0D4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CE4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449E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334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1B28B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teuto/cimed/vitapan/medquimica/prati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B405C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12,00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0D64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12,00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A096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9,99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6E465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17,60 </w:t>
            </w:r>
          </w:p>
        </w:tc>
      </w:tr>
      <w:tr w:rsidR="00143671" w:rsidRPr="00143671" w14:paraId="4E34D923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6D5C428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NEOMICINA +</w:t>
            </w: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5739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pom derm bg - 15 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CF2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7F8313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4586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16,90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1365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15,92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CBA0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14,90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840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19,55 </w:t>
            </w:r>
          </w:p>
        </w:tc>
      </w:tr>
      <w:tr w:rsidR="00143671" w:rsidRPr="00143671" w14:paraId="6403D6EC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FB90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BA12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40EC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F3654B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química/cimed/medley/ems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1B3A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8,00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08F9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7,99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F800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7,99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CCA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8,15 </w:t>
            </w:r>
          </w:p>
        </w:tc>
      </w:tr>
      <w:tr w:rsidR="00143671" w:rsidRPr="00143671" w14:paraId="19025A41" w14:textId="77777777" w:rsidTr="00143671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0258FFE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883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F934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13274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81EE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4F9D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9,94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D372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2D23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11,35 </w:t>
            </w:r>
          </w:p>
        </w:tc>
      </w:tr>
      <w:tr w:rsidR="00143671" w:rsidRPr="00143671" w14:paraId="7150AF28" w14:textId="77777777" w:rsidTr="00143671">
        <w:trPr>
          <w:trHeight w:val="285"/>
        </w:trPr>
        <w:tc>
          <w:tcPr>
            <w:tcW w:w="1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2E7B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E75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F44F" w14:textId="77777777" w:rsidR="00143671" w:rsidRPr="00143671" w:rsidRDefault="00143671" w:rsidP="00143671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D81DF" w14:textId="77777777" w:rsidR="00143671" w:rsidRPr="00143671" w:rsidRDefault="00143671" w:rsidP="0014367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prati/neo química/geolab/teuto/sobral/ems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C1591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6,00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0F14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33CF7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6D39B" w14:textId="77777777" w:rsidR="00143671" w:rsidRPr="00143671" w:rsidRDefault="00143671" w:rsidP="0014367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436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59830CBA" w:rsidR="00F77A77" w:rsidRDefault="00405D37" w:rsidP="00A43CE4">
      <w:pPr>
        <w:spacing w:after="195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2424DA">
        <w:rPr>
          <w:rFonts w:ascii="Verdana" w:eastAsia="Times New Roman" w:hAnsi="Verdana" w:cs="Times New Roman"/>
          <w:lang w:eastAsia="pt-BR"/>
        </w:rPr>
        <w:t>2</w:t>
      </w:r>
      <w:r w:rsidR="00665AD9">
        <w:rPr>
          <w:rFonts w:ascii="Verdana" w:eastAsia="Times New Roman" w:hAnsi="Verdana" w:cs="Times New Roman"/>
          <w:lang w:eastAsia="pt-BR"/>
        </w:rPr>
        <w:t>3</w:t>
      </w:r>
      <w:r>
        <w:rPr>
          <w:rFonts w:ascii="Verdana" w:eastAsia="Times New Roman" w:hAnsi="Verdana" w:cs="Times New Roman"/>
          <w:lang w:eastAsia="pt-BR"/>
        </w:rPr>
        <w:t>/0</w:t>
      </w:r>
      <w:r w:rsidR="00665AD9">
        <w:rPr>
          <w:rFonts w:ascii="Verdana" w:eastAsia="Times New Roman" w:hAnsi="Verdana" w:cs="Times New Roman"/>
          <w:lang w:eastAsia="pt-BR"/>
        </w:rPr>
        <w:t>6</w:t>
      </w:r>
      <w:r>
        <w:rPr>
          <w:rFonts w:ascii="Verdana" w:eastAsia="Times New Roman" w:hAnsi="Verdana" w:cs="Times New Roman"/>
          <w:lang w:eastAsia="pt-BR"/>
        </w:rPr>
        <w:t>/2021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menorXmaior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genXmarca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94128" w14:textId="77777777" w:rsidR="00405DD9" w:rsidRPr="006B1373" w:rsidRDefault="00405DD9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10F6C104" w14:textId="77777777" w:rsidR="00405DD9" w:rsidRPr="006B1373" w:rsidRDefault="00405DD9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="00BE513F" w:rsidRPr="00BE513F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n3YAIAAMQEAAAOAAAAZHJzL2Uyb0RvYy54bWysVNuO0zAQfUfiHyy/t7koTZto0xW7SxHS&#10;wq608AGu7TQWjm1st2lB/Dtjp+12gQeE6IM7Y4/H55yZydX1vpdox60TWjU4m6YYcUU1E2rT4M+f&#10;VpMFRs4TxYjUijf4wB2+Xr5+dTWYmue605JxiyCJcvVgGtx5b+okcbTjPXFTbbiCw1bbnnhw7SZh&#10;lgyQvZdJnqZlMmjLjNWUOwe7d+MhXsb8bcupf2hbxz2SDQZsPq42ruuwJssrUm8sMZ2gRxjkH1D0&#10;RCh49JzqjniCtlb8lqoX1GqnWz+luk902wrKIwdgk6W/sHnqiOGRC4jjzFkm9//S0o+7R4sEa/Cs&#10;BH0U6aFIDzsiURbFGYyrIebJPNpAz5l7Tb84UC15cRIcBzFoPXzQDFKQrddRkH1r+3ATqKJ91P1w&#10;1p3vPaKwWeblvJhhROHoaIcXSH26bKzz77juUTAazKUUxgVlSE12986P0aeoCFRLwVZCyujYzfpW&#10;WgS0GlykZba4CYWHB9xlGMCBXOFCABar973K8iK9yavJqlzMJ8WqmE2qebqYpFl1U5VpURV3qx8B&#10;SFbUnWCMq3uh+KmTsuLvKnXs6bEHYi+hocHVLJ9Fji9Quksyafz9iYzVW8WAJKk7Ttjbo+2JkKOd&#10;vEQc1QDap/8oRKxxKGsYJ1f7/XoPGYO51uwA1bYaqgFtAx8AMDptv2E0wDA12H3dEssxku8VdGuY&#10;vGgUs3kOjj3tri93iaKQosHUW4xG59aPs7o1Vmw6eCOLgij9BvqrFbHwz3gAfHBgVCKN41iHWbz0&#10;Y9Tzx2f5EwAA//8DAFBLAwQUAAYACAAAACEAx+W0ouAAAAANAQAADwAAAGRycy9kb3ducmV2Lnht&#10;bEyPwU7DMBBE70j8g7VI3KhTlKRtiFMBAlUcCUi9bmITR8TrKHab9O9ZTnCcndHM23K/uEGczRR6&#10;TwrWqwSEodbrnjoFnx+vd1sQISJpHDwZBRcTYF9dX5VYaD/TuznXsRNcQqFABTbGsZAytNY4DCs/&#10;GmLvy08OI8upk3rCmcvdIO+TJJcOe+IFi6N5tqb9rk9OwWEzzEf7hO1lWx/mF/vmYt84pW5vlscH&#10;ENEs8S8Mv/iMDhUzNf5EOohBQZZmjB7ZyDZJCoIjeZpmIBo+5fluDbIq5f8vqh8AAAD//wMAUEsB&#10;Ai0AFAAGAAgAAAAhALaDOJL+AAAA4QEAABMAAAAAAAAAAAAAAAAAAAAAAFtDb250ZW50X1R5cGVz&#10;XS54bWxQSwECLQAUAAYACAAAACEAOP0h/9YAAACUAQAACwAAAAAAAAAAAAAAAAAvAQAAX3JlbHMv&#10;LnJlbHNQSwECLQAUAAYACAAAACEASESJ92ACAADEBAAADgAAAAAAAAAAAAAAAAAuAgAAZHJzL2Uy&#10;b0RvYy54bWxQSwECLQAUAAYACAAAACEAx+W0ouAAAAANAQAADwAAAAAAAAAAAAAAAAC6BAAAZHJz&#10;L2Rvd25yZXYueG1sUEsFBgAAAAAEAAQA8wAAAMcFAAAAAA==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="00BE513F" w:rsidRPr="00BE513F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6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F059" w14:textId="77777777" w:rsidR="00405DD9" w:rsidRPr="006B1373" w:rsidRDefault="00405DD9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1D368281" w14:textId="77777777" w:rsidR="00405DD9" w:rsidRPr="006B1373" w:rsidRDefault="00405DD9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23F3C"/>
    <w:multiLevelType w:val="hybridMultilevel"/>
    <w:tmpl w:val="44D29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84"/>
    <w:rsid w:val="00002741"/>
    <w:rsid w:val="000056E5"/>
    <w:rsid w:val="00011DB6"/>
    <w:rsid w:val="00012F49"/>
    <w:rsid w:val="00016240"/>
    <w:rsid w:val="0001728F"/>
    <w:rsid w:val="0002120E"/>
    <w:rsid w:val="0002492A"/>
    <w:rsid w:val="00050CCE"/>
    <w:rsid w:val="00064448"/>
    <w:rsid w:val="000807CD"/>
    <w:rsid w:val="000834CF"/>
    <w:rsid w:val="00094AB9"/>
    <w:rsid w:val="0009757A"/>
    <w:rsid w:val="000A4217"/>
    <w:rsid w:val="000A481B"/>
    <w:rsid w:val="000A5DE7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2054"/>
    <w:rsid w:val="001247A5"/>
    <w:rsid w:val="001275DA"/>
    <w:rsid w:val="0012775B"/>
    <w:rsid w:val="00135051"/>
    <w:rsid w:val="00140549"/>
    <w:rsid w:val="001431A9"/>
    <w:rsid w:val="00143671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A010F"/>
    <w:rsid w:val="001A427E"/>
    <w:rsid w:val="001B517E"/>
    <w:rsid w:val="001B66AD"/>
    <w:rsid w:val="001C1380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55458"/>
    <w:rsid w:val="002728BF"/>
    <w:rsid w:val="0027527F"/>
    <w:rsid w:val="00283406"/>
    <w:rsid w:val="0028501C"/>
    <w:rsid w:val="0028798B"/>
    <w:rsid w:val="002C7F4B"/>
    <w:rsid w:val="002D23B8"/>
    <w:rsid w:val="002D2530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D0EE4"/>
    <w:rsid w:val="003F0B50"/>
    <w:rsid w:val="003F53B3"/>
    <w:rsid w:val="004004D5"/>
    <w:rsid w:val="00402071"/>
    <w:rsid w:val="00405D37"/>
    <w:rsid w:val="00405DD9"/>
    <w:rsid w:val="004101EB"/>
    <w:rsid w:val="00430728"/>
    <w:rsid w:val="00442DF5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9337F"/>
    <w:rsid w:val="005A360D"/>
    <w:rsid w:val="005A47BA"/>
    <w:rsid w:val="005A6BA9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35A8D"/>
    <w:rsid w:val="006579A4"/>
    <w:rsid w:val="00665AD9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7009F7"/>
    <w:rsid w:val="007025D2"/>
    <w:rsid w:val="007038F1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D15"/>
    <w:rsid w:val="0077478E"/>
    <w:rsid w:val="0077548E"/>
    <w:rsid w:val="00775B55"/>
    <w:rsid w:val="00787B27"/>
    <w:rsid w:val="00787FBC"/>
    <w:rsid w:val="00793AE7"/>
    <w:rsid w:val="007A0AD9"/>
    <w:rsid w:val="007A751C"/>
    <w:rsid w:val="007B695A"/>
    <w:rsid w:val="007B7E23"/>
    <w:rsid w:val="007C37EC"/>
    <w:rsid w:val="007D541F"/>
    <w:rsid w:val="007E090A"/>
    <w:rsid w:val="007E271E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746F0"/>
    <w:rsid w:val="00885537"/>
    <w:rsid w:val="0089258B"/>
    <w:rsid w:val="00892F7B"/>
    <w:rsid w:val="008930DA"/>
    <w:rsid w:val="00897F21"/>
    <w:rsid w:val="008A2C66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31FD"/>
    <w:rsid w:val="00986453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263F"/>
    <w:rsid w:val="00B43C94"/>
    <w:rsid w:val="00B47A08"/>
    <w:rsid w:val="00B71743"/>
    <w:rsid w:val="00B731D4"/>
    <w:rsid w:val="00B7791E"/>
    <w:rsid w:val="00B96C9D"/>
    <w:rsid w:val="00B96D58"/>
    <w:rsid w:val="00B97B2C"/>
    <w:rsid w:val="00BA509F"/>
    <w:rsid w:val="00BB10E6"/>
    <w:rsid w:val="00BB3B55"/>
    <w:rsid w:val="00BB4D99"/>
    <w:rsid w:val="00BC74D0"/>
    <w:rsid w:val="00BD181F"/>
    <w:rsid w:val="00BD1FBB"/>
    <w:rsid w:val="00BD222B"/>
    <w:rsid w:val="00BE24C9"/>
    <w:rsid w:val="00BE513F"/>
    <w:rsid w:val="00BF493F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D0386E"/>
    <w:rsid w:val="00D06A39"/>
    <w:rsid w:val="00D10BB5"/>
    <w:rsid w:val="00D1128E"/>
    <w:rsid w:val="00D13A71"/>
    <w:rsid w:val="00D44E3C"/>
    <w:rsid w:val="00D5307F"/>
    <w:rsid w:val="00D55010"/>
    <w:rsid w:val="00D559E5"/>
    <w:rsid w:val="00D563F7"/>
    <w:rsid w:val="00D567AF"/>
    <w:rsid w:val="00D56C91"/>
    <w:rsid w:val="00D627A9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637B1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character" w:customStyle="1" w:styleId="grkhzd">
    <w:name w:val="grkhzd"/>
    <w:basedOn w:val="Fontepargpadro"/>
    <w:rsid w:val="000A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4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24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2101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764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484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98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03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07E-C035-4DB5-81C5-829C17E0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Acer</cp:lastModifiedBy>
  <cp:revision>2</cp:revision>
  <cp:lastPrinted>2020-10-23T15:45:00Z</cp:lastPrinted>
  <dcterms:created xsi:type="dcterms:W3CDTF">2021-06-28T13:02:00Z</dcterms:created>
  <dcterms:modified xsi:type="dcterms:W3CDTF">2021-06-28T13:02:00Z</dcterms:modified>
</cp:coreProperties>
</file>